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CF4" w:rsidRPr="00433555" w:rsidRDefault="00136CF4" w:rsidP="00136CF4">
      <w:pPr>
        <w:jc w:val="center"/>
        <w:rPr>
          <w:rFonts w:ascii="Times New Roman" w:hAnsi="Times New Roman" w:cs="Times New Roman"/>
          <w:b/>
          <w:noProof/>
          <w:sz w:val="30"/>
          <w:szCs w:val="30"/>
          <w:lang w:eastAsia="tr-TR"/>
        </w:rPr>
      </w:pPr>
      <w:bookmarkStart w:id="0" w:name="_GoBack"/>
      <w:bookmarkEnd w:id="0"/>
      <w:r w:rsidRPr="00433555">
        <w:rPr>
          <w:rFonts w:ascii="Times New Roman" w:hAnsi="Times New Roman" w:cs="Times New Roman"/>
          <w:b/>
          <w:noProof/>
          <w:sz w:val="30"/>
          <w:szCs w:val="30"/>
          <w:lang w:eastAsia="tr-TR"/>
        </w:rPr>
        <w:t>HATAY’IN 4. TEŞVİK BÖLGESİ’NDEN 5. TEŞVİK BÖLGESİ’NE ALINMASI ARAŞTIRMA RAPORU</w:t>
      </w:r>
    </w:p>
    <w:p w:rsidR="00136CF4" w:rsidRPr="00136CF4" w:rsidRDefault="00136CF4" w:rsidP="00136CF4">
      <w:pPr>
        <w:ind w:firstLine="708"/>
        <w:jc w:val="both"/>
        <w:rPr>
          <w:rFonts w:ascii="Times New Roman" w:hAnsi="Times New Roman" w:cs="Times New Roman"/>
          <w:noProof/>
          <w:sz w:val="26"/>
          <w:szCs w:val="26"/>
          <w:lang w:eastAsia="tr-TR"/>
        </w:rPr>
      </w:pPr>
      <w:r w:rsidRPr="00136CF4">
        <w:rPr>
          <w:rFonts w:ascii="Times New Roman" w:hAnsi="Times New Roman" w:cs="Times New Roman"/>
          <w:noProof/>
          <w:sz w:val="26"/>
          <w:szCs w:val="26"/>
          <w:lang w:eastAsia="tr-TR"/>
        </w:rPr>
        <w:t>Yatırım teşvik sistemi; iller arasındaki bölgesel gelişmişlik farklarını azaltmayı, üretim ve ihracat potansiyelini artırmayı hedefleyen bir sistemdir. Yatırım teşvik sistemi; ‘‘devletin gelişmişlik düzeyi ile ters orantılı olarak yatırım desteği vermesi’’ şeklinde ifade edilmektedir. Bu sistem ile gelişmiş illere az destek verilirken, gelişmemiş illere daha fazla yatırım yapılması için destek oranı artırılmaktadır.</w:t>
      </w:r>
    </w:p>
    <w:p w:rsidR="00136CF4" w:rsidRPr="00136CF4" w:rsidRDefault="00136CF4" w:rsidP="00136CF4">
      <w:pPr>
        <w:ind w:firstLine="708"/>
        <w:jc w:val="both"/>
        <w:rPr>
          <w:rFonts w:ascii="Times New Roman" w:hAnsi="Times New Roman" w:cs="Times New Roman"/>
          <w:noProof/>
          <w:sz w:val="26"/>
          <w:szCs w:val="26"/>
          <w:lang w:eastAsia="tr-TR"/>
        </w:rPr>
      </w:pPr>
      <w:r w:rsidRPr="00136CF4">
        <w:rPr>
          <w:rFonts w:ascii="Times New Roman" w:hAnsi="Times New Roman" w:cs="Times New Roman"/>
          <w:noProof/>
          <w:sz w:val="26"/>
          <w:szCs w:val="26"/>
          <w:lang w:eastAsia="tr-TR"/>
        </w:rPr>
        <w:t>Yatırım Teşvik Sisteminde bölgelere ayrılmış iller; KDV istisnası, Gümrük vergisi muafiyeti, vergi indirimi,  Sigorta Primi İşveren Payı Desteği, Gelir Vergisi Stopajı Desteği, Faiz Desteği, Yatırım Yeri Tahsisi gibi birçok farklı destekten faydalanabilmektedir. Ancak, yatırım teşvik bölgesine göre destek türleri ve destek oranları farklılık göstermektedir.</w:t>
      </w:r>
    </w:p>
    <w:p w:rsidR="00136CF4" w:rsidRPr="00136CF4" w:rsidRDefault="00136CF4" w:rsidP="00136CF4">
      <w:pPr>
        <w:ind w:firstLine="708"/>
        <w:jc w:val="both"/>
        <w:rPr>
          <w:rFonts w:ascii="Times New Roman" w:hAnsi="Times New Roman" w:cs="Times New Roman"/>
          <w:noProof/>
          <w:sz w:val="26"/>
          <w:szCs w:val="26"/>
          <w:lang w:eastAsia="tr-TR"/>
        </w:rPr>
      </w:pPr>
      <w:r w:rsidRPr="00136CF4">
        <w:rPr>
          <w:rFonts w:ascii="Times New Roman" w:hAnsi="Times New Roman" w:cs="Times New Roman"/>
          <w:noProof/>
          <w:sz w:val="26"/>
          <w:szCs w:val="26"/>
          <w:lang w:eastAsia="tr-TR"/>
        </w:rPr>
        <w:t>2009 yılında T.C. Kalkınma Bakanlığı TÜİK İllerin Gelişmişlik düzeylerine ilişkin hazırlanmış istatistiklere dayanılarak Türkiye 4 bölgeye ayrılmış olup, Hatay 3. Bölgede yer almaktaydı. 2012 yılında bakanlık verileri revize edilmiş ve ülkemiz 6 bölgeye ayrılmıştır. Hatay, 6 bölgeye ayrılan yatırım teşvikinde 4. Bölgede yer almaktadır.</w:t>
      </w:r>
    </w:p>
    <w:p w:rsidR="00136CF4" w:rsidRPr="00136CF4" w:rsidRDefault="00136CF4" w:rsidP="00136CF4">
      <w:pPr>
        <w:ind w:firstLine="708"/>
        <w:jc w:val="both"/>
        <w:rPr>
          <w:rFonts w:ascii="Times New Roman" w:hAnsi="Times New Roman" w:cs="Times New Roman"/>
          <w:noProof/>
          <w:sz w:val="26"/>
          <w:szCs w:val="26"/>
          <w:lang w:eastAsia="tr-TR"/>
        </w:rPr>
      </w:pPr>
    </w:p>
    <w:p w:rsidR="00136CF4" w:rsidRPr="00136CF4" w:rsidRDefault="00136CF4" w:rsidP="00136CF4">
      <w:pPr>
        <w:ind w:firstLine="708"/>
        <w:jc w:val="both"/>
        <w:rPr>
          <w:rFonts w:ascii="Times New Roman" w:hAnsi="Times New Roman" w:cs="Times New Roman"/>
          <w:noProof/>
          <w:sz w:val="26"/>
          <w:szCs w:val="26"/>
          <w:lang w:eastAsia="tr-TR"/>
        </w:rPr>
      </w:pPr>
      <w:r w:rsidRPr="00136CF4">
        <w:rPr>
          <w:rFonts w:ascii="Times New Roman" w:hAnsi="Times New Roman" w:cs="Times New Roman"/>
          <w:noProof/>
          <w:sz w:val="26"/>
          <w:szCs w:val="26"/>
          <w:lang w:eastAsia="tr-TR"/>
        </w:rPr>
        <w:drawing>
          <wp:inline distT="0" distB="0" distL="0" distR="0" wp14:anchorId="6CFC5A13">
            <wp:extent cx="5912021" cy="32194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16836" cy="3222072"/>
                    </a:xfrm>
                    <a:prstGeom prst="rect">
                      <a:avLst/>
                    </a:prstGeom>
                    <a:noFill/>
                  </pic:spPr>
                </pic:pic>
              </a:graphicData>
            </a:graphic>
          </wp:inline>
        </w:drawing>
      </w:r>
    </w:p>
    <w:p w:rsidR="00136CF4" w:rsidRPr="00136CF4" w:rsidRDefault="00136CF4">
      <w:pPr>
        <w:rPr>
          <w:rFonts w:ascii="Times New Roman" w:hAnsi="Times New Roman" w:cs="Times New Roman"/>
          <w:noProof/>
          <w:sz w:val="26"/>
          <w:szCs w:val="26"/>
          <w:lang w:eastAsia="tr-TR"/>
        </w:rPr>
      </w:pPr>
    </w:p>
    <w:p w:rsidR="00136CF4" w:rsidRPr="00136CF4" w:rsidRDefault="00136CF4" w:rsidP="00136CF4">
      <w:pPr>
        <w:ind w:firstLine="708"/>
        <w:jc w:val="both"/>
        <w:rPr>
          <w:rFonts w:ascii="Times New Roman" w:hAnsi="Times New Roman" w:cs="Times New Roman"/>
          <w:noProof/>
          <w:sz w:val="26"/>
          <w:szCs w:val="26"/>
          <w:lang w:eastAsia="tr-TR"/>
        </w:rPr>
      </w:pPr>
      <w:r w:rsidRPr="00136CF4">
        <w:rPr>
          <w:rFonts w:ascii="Times New Roman" w:hAnsi="Times New Roman" w:cs="Times New Roman"/>
          <w:noProof/>
          <w:sz w:val="26"/>
          <w:szCs w:val="26"/>
          <w:lang w:eastAsia="tr-TR"/>
        </w:rPr>
        <w:t>Afyonkarahisar, Amasya, Artvin, Bartın, Çorum, Düzce, Elazığ, Erzincan, Hatay, Kastamonu, Kırıkkale, Kırşehir, Kütahya, Malatya, Nevşehir, Rize ve Sivas; 4. teşvik bölgesi dâhilindeki 17 ildir.</w:t>
      </w:r>
    </w:p>
    <w:p w:rsidR="00ED0B77" w:rsidRDefault="00ED0B77" w:rsidP="00ED0B77">
      <w:pPr>
        <w:rPr>
          <w:rFonts w:ascii="Times New Roman" w:hAnsi="Times New Roman" w:cs="Times New Roman"/>
          <w:noProof/>
          <w:sz w:val="26"/>
          <w:szCs w:val="26"/>
          <w:lang w:eastAsia="tr-TR"/>
        </w:rPr>
      </w:pPr>
    </w:p>
    <w:p w:rsidR="00136CF4" w:rsidRPr="00433555" w:rsidRDefault="00136CF4" w:rsidP="00ED0B77">
      <w:pPr>
        <w:rPr>
          <w:rFonts w:ascii="Times New Roman" w:hAnsi="Times New Roman" w:cs="Times New Roman"/>
          <w:b/>
          <w:noProof/>
          <w:sz w:val="26"/>
          <w:szCs w:val="26"/>
          <w:lang w:eastAsia="tr-TR"/>
        </w:rPr>
      </w:pPr>
      <w:r w:rsidRPr="00433555">
        <w:rPr>
          <w:rFonts w:ascii="Times New Roman" w:hAnsi="Times New Roman" w:cs="Times New Roman"/>
          <w:b/>
          <w:noProof/>
          <w:sz w:val="26"/>
          <w:szCs w:val="26"/>
          <w:lang w:eastAsia="tr-TR"/>
        </w:rPr>
        <w:lastRenderedPageBreak/>
        <w:t>Hatay neden yanlış bölgede yer almaktadır?</w:t>
      </w:r>
    </w:p>
    <w:p w:rsidR="00136CF4" w:rsidRDefault="00136CF4" w:rsidP="00136CF4">
      <w:pPr>
        <w:pStyle w:val="ListeParagraf"/>
        <w:numPr>
          <w:ilvl w:val="0"/>
          <w:numId w:val="1"/>
        </w:numPr>
        <w:rPr>
          <w:rFonts w:ascii="Times New Roman" w:hAnsi="Times New Roman" w:cs="Times New Roman"/>
          <w:b/>
          <w:noProof/>
          <w:sz w:val="26"/>
          <w:szCs w:val="26"/>
          <w:lang w:eastAsia="tr-TR"/>
        </w:rPr>
      </w:pPr>
      <w:r w:rsidRPr="00136CF4">
        <w:rPr>
          <w:rFonts w:ascii="Times New Roman" w:hAnsi="Times New Roman" w:cs="Times New Roman"/>
          <w:b/>
          <w:noProof/>
          <w:sz w:val="26"/>
          <w:szCs w:val="26"/>
          <w:lang w:eastAsia="tr-TR"/>
        </w:rPr>
        <w:t>Suriyeli mülteci nüfusunun Hatay’da yoğunlaşması</w:t>
      </w:r>
    </w:p>
    <w:p w:rsidR="00136CF4" w:rsidRPr="00136CF4" w:rsidRDefault="00136CF4" w:rsidP="00136CF4">
      <w:pPr>
        <w:ind w:firstLine="708"/>
        <w:jc w:val="both"/>
        <w:rPr>
          <w:rFonts w:ascii="Times New Roman" w:hAnsi="Times New Roman" w:cs="Times New Roman"/>
          <w:noProof/>
          <w:sz w:val="26"/>
          <w:szCs w:val="26"/>
          <w:lang w:eastAsia="tr-TR"/>
        </w:rPr>
      </w:pPr>
      <w:r w:rsidRPr="00136CF4">
        <w:rPr>
          <w:rFonts w:ascii="Times New Roman" w:hAnsi="Times New Roman" w:cs="Times New Roman"/>
          <w:noProof/>
          <w:sz w:val="26"/>
          <w:szCs w:val="26"/>
          <w:lang w:eastAsia="tr-TR"/>
        </w:rPr>
        <w:t>T.C. İçişleri Bakanlığı Göç İdaresi Genel Müdürlüğü’nden alınan bilgilere göre; 24.01.2020 tarihi itibariyle Türkiye’de 3.571.175 Geçici Koruma Kapsamında Suriyeli sığınmacı yaşamaktadır.</w:t>
      </w:r>
      <w:r>
        <w:rPr>
          <w:rFonts w:ascii="Times New Roman" w:hAnsi="Times New Roman" w:cs="Times New Roman"/>
          <w:noProof/>
          <w:sz w:val="26"/>
          <w:szCs w:val="26"/>
          <w:lang w:eastAsia="tr-TR"/>
        </w:rPr>
        <w:t xml:space="preserve"> Yıllara göre ülkemizde bulunan Suriyeli sığınmacı sayısı grafiği aşağıda yer almaktadır.</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4182"/>
      </w:tblGrid>
      <w:tr w:rsidR="00136CF4" w:rsidRPr="00136CF4" w:rsidTr="00B62424">
        <w:trPr>
          <w:trHeight w:val="450"/>
          <w:jc w:val="center"/>
        </w:trPr>
        <w:tc>
          <w:tcPr>
            <w:tcW w:w="1200" w:type="dxa"/>
            <w:shd w:val="clear" w:color="auto" w:fill="2E74B5" w:themeFill="accent1" w:themeFillShade="BF"/>
            <w:noWrap/>
            <w:vAlign w:val="bottom"/>
            <w:hideMark/>
          </w:tcPr>
          <w:p w:rsidR="00136CF4" w:rsidRPr="00136CF4" w:rsidRDefault="00136CF4" w:rsidP="00B62424">
            <w:pPr>
              <w:spacing w:after="0" w:line="240" w:lineRule="auto"/>
              <w:jc w:val="center"/>
              <w:rPr>
                <w:rFonts w:ascii="Times New Roman" w:eastAsia="Times New Roman" w:hAnsi="Times New Roman" w:cs="Times New Roman"/>
                <w:b/>
                <w:bCs/>
                <w:color w:val="FFFFFF" w:themeColor="background1"/>
                <w:sz w:val="24"/>
                <w:szCs w:val="24"/>
                <w:lang w:eastAsia="tr-TR"/>
              </w:rPr>
            </w:pPr>
            <w:r w:rsidRPr="00136CF4">
              <w:rPr>
                <w:rFonts w:ascii="Times New Roman" w:eastAsia="Times New Roman" w:hAnsi="Times New Roman" w:cs="Times New Roman"/>
                <w:b/>
                <w:bCs/>
                <w:color w:val="FFFFFF" w:themeColor="background1"/>
                <w:sz w:val="24"/>
                <w:szCs w:val="24"/>
                <w:lang w:eastAsia="tr-TR"/>
              </w:rPr>
              <w:t>Yıl</w:t>
            </w:r>
          </w:p>
        </w:tc>
        <w:tc>
          <w:tcPr>
            <w:tcW w:w="4182" w:type="dxa"/>
            <w:shd w:val="clear" w:color="auto" w:fill="2E74B5" w:themeFill="accent1" w:themeFillShade="BF"/>
            <w:noWrap/>
            <w:vAlign w:val="bottom"/>
            <w:hideMark/>
          </w:tcPr>
          <w:p w:rsidR="00136CF4" w:rsidRPr="00136CF4" w:rsidRDefault="00B62424" w:rsidP="00B62424">
            <w:pPr>
              <w:spacing w:after="0" w:line="240" w:lineRule="auto"/>
              <w:jc w:val="center"/>
              <w:rPr>
                <w:rFonts w:ascii="Times New Roman" w:eastAsia="Times New Roman" w:hAnsi="Times New Roman" w:cs="Times New Roman"/>
                <w:b/>
                <w:bCs/>
                <w:color w:val="FFFFFF" w:themeColor="background1"/>
                <w:sz w:val="24"/>
                <w:szCs w:val="24"/>
                <w:lang w:eastAsia="tr-TR"/>
              </w:rPr>
            </w:pPr>
            <w:r w:rsidRPr="00B62424">
              <w:rPr>
                <w:rFonts w:ascii="Times New Roman" w:eastAsia="Times New Roman" w:hAnsi="Times New Roman" w:cs="Times New Roman"/>
                <w:b/>
                <w:bCs/>
                <w:color w:val="FFFFFF" w:themeColor="background1"/>
                <w:sz w:val="24"/>
                <w:szCs w:val="24"/>
                <w:lang w:eastAsia="tr-TR"/>
              </w:rPr>
              <w:t xml:space="preserve">Türkiye’deki </w:t>
            </w:r>
            <w:r w:rsidR="00136CF4" w:rsidRPr="00136CF4">
              <w:rPr>
                <w:rFonts w:ascii="Times New Roman" w:eastAsia="Times New Roman" w:hAnsi="Times New Roman" w:cs="Times New Roman"/>
                <w:b/>
                <w:bCs/>
                <w:color w:val="FFFFFF" w:themeColor="background1"/>
                <w:sz w:val="24"/>
                <w:szCs w:val="24"/>
                <w:lang w:eastAsia="tr-TR"/>
              </w:rPr>
              <w:t>Suriyeli Sığınmacı Sayısı</w:t>
            </w:r>
          </w:p>
        </w:tc>
      </w:tr>
      <w:tr w:rsidR="00136CF4" w:rsidRPr="00136CF4" w:rsidTr="00B62424">
        <w:trPr>
          <w:trHeight w:val="465"/>
          <w:jc w:val="center"/>
        </w:trPr>
        <w:tc>
          <w:tcPr>
            <w:tcW w:w="1200" w:type="dxa"/>
            <w:shd w:val="clear" w:color="auto" w:fill="BDD6EE" w:themeFill="accent1" w:themeFillTint="66"/>
            <w:noWrap/>
            <w:vAlign w:val="bottom"/>
            <w:hideMark/>
          </w:tcPr>
          <w:p w:rsidR="00136CF4" w:rsidRPr="00136CF4" w:rsidRDefault="00136CF4" w:rsidP="00B62424">
            <w:pPr>
              <w:spacing w:after="0" w:line="240" w:lineRule="auto"/>
              <w:jc w:val="center"/>
              <w:rPr>
                <w:rFonts w:ascii="Times New Roman" w:eastAsia="Times New Roman" w:hAnsi="Times New Roman" w:cs="Times New Roman"/>
                <w:color w:val="000000"/>
                <w:sz w:val="24"/>
                <w:szCs w:val="24"/>
                <w:lang w:eastAsia="tr-TR"/>
              </w:rPr>
            </w:pPr>
            <w:r w:rsidRPr="00136CF4">
              <w:rPr>
                <w:rFonts w:ascii="Times New Roman" w:eastAsia="Times New Roman" w:hAnsi="Times New Roman" w:cs="Times New Roman"/>
                <w:color w:val="000000"/>
                <w:sz w:val="24"/>
                <w:szCs w:val="24"/>
                <w:lang w:eastAsia="tr-TR"/>
              </w:rPr>
              <w:t>2012</w:t>
            </w:r>
          </w:p>
        </w:tc>
        <w:tc>
          <w:tcPr>
            <w:tcW w:w="4182" w:type="dxa"/>
            <w:shd w:val="clear" w:color="auto" w:fill="BDD6EE" w:themeFill="accent1" w:themeFillTint="66"/>
            <w:noWrap/>
            <w:vAlign w:val="bottom"/>
            <w:hideMark/>
          </w:tcPr>
          <w:p w:rsidR="00136CF4" w:rsidRPr="00136CF4" w:rsidRDefault="00136CF4" w:rsidP="00B62424">
            <w:pPr>
              <w:spacing w:after="0" w:line="240" w:lineRule="auto"/>
              <w:jc w:val="center"/>
              <w:rPr>
                <w:rFonts w:ascii="Times New Roman" w:eastAsia="Times New Roman" w:hAnsi="Times New Roman" w:cs="Times New Roman"/>
                <w:color w:val="000000"/>
                <w:sz w:val="24"/>
                <w:szCs w:val="24"/>
                <w:lang w:eastAsia="tr-TR"/>
              </w:rPr>
            </w:pPr>
            <w:r w:rsidRPr="00136CF4">
              <w:rPr>
                <w:rFonts w:ascii="Times New Roman" w:eastAsia="Times New Roman" w:hAnsi="Times New Roman" w:cs="Times New Roman"/>
                <w:color w:val="000000"/>
                <w:sz w:val="24"/>
                <w:szCs w:val="24"/>
                <w:lang w:eastAsia="tr-TR"/>
              </w:rPr>
              <w:t>14.237</w:t>
            </w:r>
          </w:p>
        </w:tc>
      </w:tr>
      <w:tr w:rsidR="00136CF4" w:rsidRPr="00136CF4" w:rsidTr="00B62424">
        <w:trPr>
          <w:trHeight w:val="465"/>
          <w:jc w:val="center"/>
        </w:trPr>
        <w:tc>
          <w:tcPr>
            <w:tcW w:w="1200" w:type="dxa"/>
            <w:shd w:val="clear" w:color="auto" w:fill="auto"/>
            <w:noWrap/>
            <w:vAlign w:val="bottom"/>
            <w:hideMark/>
          </w:tcPr>
          <w:p w:rsidR="00136CF4" w:rsidRPr="00136CF4" w:rsidRDefault="00136CF4" w:rsidP="00B62424">
            <w:pPr>
              <w:spacing w:after="0" w:line="240" w:lineRule="auto"/>
              <w:jc w:val="center"/>
              <w:rPr>
                <w:rFonts w:ascii="Times New Roman" w:eastAsia="Times New Roman" w:hAnsi="Times New Roman" w:cs="Times New Roman"/>
                <w:color w:val="000000"/>
                <w:sz w:val="24"/>
                <w:szCs w:val="24"/>
                <w:lang w:eastAsia="tr-TR"/>
              </w:rPr>
            </w:pPr>
            <w:r w:rsidRPr="00136CF4">
              <w:rPr>
                <w:rFonts w:ascii="Times New Roman" w:eastAsia="Times New Roman" w:hAnsi="Times New Roman" w:cs="Times New Roman"/>
                <w:color w:val="000000"/>
                <w:sz w:val="24"/>
                <w:szCs w:val="24"/>
                <w:lang w:eastAsia="tr-TR"/>
              </w:rPr>
              <w:t>2013</w:t>
            </w:r>
          </w:p>
        </w:tc>
        <w:tc>
          <w:tcPr>
            <w:tcW w:w="4182" w:type="dxa"/>
            <w:shd w:val="clear" w:color="auto" w:fill="auto"/>
            <w:noWrap/>
            <w:vAlign w:val="bottom"/>
            <w:hideMark/>
          </w:tcPr>
          <w:p w:rsidR="00136CF4" w:rsidRPr="00136CF4" w:rsidRDefault="00136CF4" w:rsidP="00B62424">
            <w:pPr>
              <w:spacing w:after="0" w:line="240" w:lineRule="auto"/>
              <w:jc w:val="center"/>
              <w:rPr>
                <w:rFonts w:ascii="Times New Roman" w:eastAsia="Times New Roman" w:hAnsi="Times New Roman" w:cs="Times New Roman"/>
                <w:color w:val="000000"/>
                <w:sz w:val="24"/>
                <w:szCs w:val="24"/>
                <w:lang w:eastAsia="tr-TR"/>
              </w:rPr>
            </w:pPr>
            <w:r w:rsidRPr="00136CF4">
              <w:rPr>
                <w:rFonts w:ascii="Times New Roman" w:eastAsia="Times New Roman" w:hAnsi="Times New Roman" w:cs="Times New Roman"/>
                <w:color w:val="000000"/>
                <w:sz w:val="24"/>
                <w:szCs w:val="24"/>
                <w:lang w:eastAsia="tr-TR"/>
              </w:rPr>
              <w:t>224.655</w:t>
            </w:r>
          </w:p>
        </w:tc>
      </w:tr>
      <w:tr w:rsidR="00136CF4" w:rsidRPr="00136CF4" w:rsidTr="00B62424">
        <w:trPr>
          <w:trHeight w:val="465"/>
          <w:jc w:val="center"/>
        </w:trPr>
        <w:tc>
          <w:tcPr>
            <w:tcW w:w="1200" w:type="dxa"/>
            <w:shd w:val="clear" w:color="auto" w:fill="BDD6EE" w:themeFill="accent1" w:themeFillTint="66"/>
            <w:noWrap/>
            <w:vAlign w:val="bottom"/>
            <w:hideMark/>
          </w:tcPr>
          <w:p w:rsidR="00136CF4" w:rsidRPr="00136CF4" w:rsidRDefault="00136CF4" w:rsidP="00B62424">
            <w:pPr>
              <w:spacing w:after="0" w:line="240" w:lineRule="auto"/>
              <w:jc w:val="center"/>
              <w:rPr>
                <w:rFonts w:ascii="Times New Roman" w:eastAsia="Times New Roman" w:hAnsi="Times New Roman" w:cs="Times New Roman"/>
                <w:color w:val="000000"/>
                <w:sz w:val="24"/>
                <w:szCs w:val="24"/>
                <w:lang w:eastAsia="tr-TR"/>
              </w:rPr>
            </w:pPr>
            <w:r w:rsidRPr="00136CF4">
              <w:rPr>
                <w:rFonts w:ascii="Times New Roman" w:eastAsia="Times New Roman" w:hAnsi="Times New Roman" w:cs="Times New Roman"/>
                <w:color w:val="000000"/>
                <w:sz w:val="24"/>
                <w:szCs w:val="24"/>
                <w:lang w:eastAsia="tr-TR"/>
              </w:rPr>
              <w:t>2014</w:t>
            </w:r>
          </w:p>
        </w:tc>
        <w:tc>
          <w:tcPr>
            <w:tcW w:w="4182" w:type="dxa"/>
            <w:shd w:val="clear" w:color="auto" w:fill="BDD6EE" w:themeFill="accent1" w:themeFillTint="66"/>
            <w:noWrap/>
            <w:vAlign w:val="bottom"/>
            <w:hideMark/>
          </w:tcPr>
          <w:p w:rsidR="00136CF4" w:rsidRPr="00136CF4" w:rsidRDefault="00136CF4" w:rsidP="00B62424">
            <w:pPr>
              <w:spacing w:after="0" w:line="240" w:lineRule="auto"/>
              <w:jc w:val="center"/>
              <w:rPr>
                <w:rFonts w:ascii="Times New Roman" w:eastAsia="Times New Roman" w:hAnsi="Times New Roman" w:cs="Times New Roman"/>
                <w:color w:val="000000"/>
                <w:sz w:val="24"/>
                <w:szCs w:val="24"/>
                <w:lang w:eastAsia="tr-TR"/>
              </w:rPr>
            </w:pPr>
            <w:r w:rsidRPr="00136CF4">
              <w:rPr>
                <w:rFonts w:ascii="Times New Roman" w:eastAsia="Times New Roman" w:hAnsi="Times New Roman" w:cs="Times New Roman"/>
                <w:color w:val="000000"/>
                <w:sz w:val="24"/>
                <w:szCs w:val="24"/>
                <w:lang w:eastAsia="tr-TR"/>
              </w:rPr>
              <w:t>1.519.286</w:t>
            </w:r>
          </w:p>
        </w:tc>
      </w:tr>
      <w:tr w:rsidR="00136CF4" w:rsidRPr="00136CF4" w:rsidTr="00B62424">
        <w:trPr>
          <w:trHeight w:val="465"/>
          <w:jc w:val="center"/>
        </w:trPr>
        <w:tc>
          <w:tcPr>
            <w:tcW w:w="1200" w:type="dxa"/>
            <w:shd w:val="clear" w:color="auto" w:fill="auto"/>
            <w:noWrap/>
            <w:vAlign w:val="bottom"/>
            <w:hideMark/>
          </w:tcPr>
          <w:p w:rsidR="00136CF4" w:rsidRPr="00136CF4" w:rsidRDefault="00136CF4" w:rsidP="00B62424">
            <w:pPr>
              <w:spacing w:after="0" w:line="240" w:lineRule="auto"/>
              <w:jc w:val="center"/>
              <w:rPr>
                <w:rFonts w:ascii="Times New Roman" w:eastAsia="Times New Roman" w:hAnsi="Times New Roman" w:cs="Times New Roman"/>
                <w:color w:val="000000"/>
                <w:sz w:val="24"/>
                <w:szCs w:val="24"/>
                <w:lang w:eastAsia="tr-TR"/>
              </w:rPr>
            </w:pPr>
            <w:r w:rsidRPr="00136CF4">
              <w:rPr>
                <w:rFonts w:ascii="Times New Roman" w:eastAsia="Times New Roman" w:hAnsi="Times New Roman" w:cs="Times New Roman"/>
                <w:color w:val="000000"/>
                <w:sz w:val="24"/>
                <w:szCs w:val="24"/>
                <w:lang w:eastAsia="tr-TR"/>
              </w:rPr>
              <w:t>2015</w:t>
            </w:r>
          </w:p>
        </w:tc>
        <w:tc>
          <w:tcPr>
            <w:tcW w:w="4182" w:type="dxa"/>
            <w:shd w:val="clear" w:color="auto" w:fill="auto"/>
            <w:noWrap/>
            <w:vAlign w:val="bottom"/>
            <w:hideMark/>
          </w:tcPr>
          <w:p w:rsidR="00136CF4" w:rsidRPr="00136CF4" w:rsidRDefault="00136CF4" w:rsidP="00B62424">
            <w:pPr>
              <w:spacing w:after="0" w:line="240" w:lineRule="auto"/>
              <w:jc w:val="center"/>
              <w:rPr>
                <w:rFonts w:ascii="Times New Roman" w:eastAsia="Times New Roman" w:hAnsi="Times New Roman" w:cs="Times New Roman"/>
                <w:color w:val="000000"/>
                <w:sz w:val="24"/>
                <w:szCs w:val="24"/>
                <w:lang w:eastAsia="tr-TR"/>
              </w:rPr>
            </w:pPr>
            <w:r w:rsidRPr="00136CF4">
              <w:rPr>
                <w:rFonts w:ascii="Times New Roman" w:eastAsia="Times New Roman" w:hAnsi="Times New Roman" w:cs="Times New Roman"/>
                <w:color w:val="000000"/>
                <w:sz w:val="24"/>
                <w:szCs w:val="24"/>
                <w:lang w:eastAsia="tr-TR"/>
              </w:rPr>
              <w:t>2.503.549</w:t>
            </w:r>
          </w:p>
        </w:tc>
      </w:tr>
      <w:tr w:rsidR="00136CF4" w:rsidRPr="00136CF4" w:rsidTr="00B62424">
        <w:trPr>
          <w:trHeight w:val="465"/>
          <w:jc w:val="center"/>
        </w:trPr>
        <w:tc>
          <w:tcPr>
            <w:tcW w:w="1200" w:type="dxa"/>
            <w:shd w:val="clear" w:color="auto" w:fill="BDD6EE" w:themeFill="accent1" w:themeFillTint="66"/>
            <w:noWrap/>
            <w:vAlign w:val="bottom"/>
            <w:hideMark/>
          </w:tcPr>
          <w:p w:rsidR="00136CF4" w:rsidRPr="00136CF4" w:rsidRDefault="00136CF4" w:rsidP="00B62424">
            <w:pPr>
              <w:spacing w:after="0" w:line="240" w:lineRule="auto"/>
              <w:jc w:val="center"/>
              <w:rPr>
                <w:rFonts w:ascii="Times New Roman" w:eastAsia="Times New Roman" w:hAnsi="Times New Roman" w:cs="Times New Roman"/>
                <w:color w:val="000000"/>
                <w:sz w:val="24"/>
                <w:szCs w:val="24"/>
                <w:lang w:eastAsia="tr-TR"/>
              </w:rPr>
            </w:pPr>
            <w:r w:rsidRPr="00136CF4">
              <w:rPr>
                <w:rFonts w:ascii="Times New Roman" w:eastAsia="Times New Roman" w:hAnsi="Times New Roman" w:cs="Times New Roman"/>
                <w:color w:val="000000"/>
                <w:sz w:val="24"/>
                <w:szCs w:val="24"/>
                <w:lang w:eastAsia="tr-TR"/>
              </w:rPr>
              <w:t>2016</w:t>
            </w:r>
          </w:p>
        </w:tc>
        <w:tc>
          <w:tcPr>
            <w:tcW w:w="4182" w:type="dxa"/>
            <w:shd w:val="clear" w:color="auto" w:fill="BDD6EE" w:themeFill="accent1" w:themeFillTint="66"/>
            <w:noWrap/>
            <w:vAlign w:val="bottom"/>
            <w:hideMark/>
          </w:tcPr>
          <w:p w:rsidR="00136CF4" w:rsidRPr="00136CF4" w:rsidRDefault="00136CF4" w:rsidP="00B62424">
            <w:pPr>
              <w:spacing w:after="0" w:line="240" w:lineRule="auto"/>
              <w:jc w:val="center"/>
              <w:rPr>
                <w:rFonts w:ascii="Times New Roman" w:eastAsia="Times New Roman" w:hAnsi="Times New Roman" w:cs="Times New Roman"/>
                <w:color w:val="000000"/>
                <w:sz w:val="24"/>
                <w:szCs w:val="24"/>
                <w:lang w:eastAsia="tr-TR"/>
              </w:rPr>
            </w:pPr>
            <w:r w:rsidRPr="00136CF4">
              <w:rPr>
                <w:rFonts w:ascii="Times New Roman" w:eastAsia="Times New Roman" w:hAnsi="Times New Roman" w:cs="Times New Roman"/>
                <w:color w:val="000000"/>
                <w:sz w:val="24"/>
                <w:szCs w:val="24"/>
                <w:lang w:eastAsia="tr-TR"/>
              </w:rPr>
              <w:t>2.834.441</w:t>
            </w:r>
          </w:p>
        </w:tc>
      </w:tr>
      <w:tr w:rsidR="00136CF4" w:rsidRPr="00136CF4" w:rsidTr="00B62424">
        <w:trPr>
          <w:trHeight w:val="465"/>
          <w:jc w:val="center"/>
        </w:trPr>
        <w:tc>
          <w:tcPr>
            <w:tcW w:w="1200" w:type="dxa"/>
            <w:shd w:val="clear" w:color="auto" w:fill="auto"/>
            <w:noWrap/>
            <w:vAlign w:val="bottom"/>
            <w:hideMark/>
          </w:tcPr>
          <w:p w:rsidR="00136CF4" w:rsidRPr="00136CF4" w:rsidRDefault="00136CF4" w:rsidP="00B62424">
            <w:pPr>
              <w:spacing w:after="0" w:line="240" w:lineRule="auto"/>
              <w:jc w:val="center"/>
              <w:rPr>
                <w:rFonts w:ascii="Times New Roman" w:eastAsia="Times New Roman" w:hAnsi="Times New Roman" w:cs="Times New Roman"/>
                <w:color w:val="000000"/>
                <w:sz w:val="24"/>
                <w:szCs w:val="24"/>
                <w:lang w:eastAsia="tr-TR"/>
              </w:rPr>
            </w:pPr>
            <w:r w:rsidRPr="00136CF4">
              <w:rPr>
                <w:rFonts w:ascii="Times New Roman" w:eastAsia="Times New Roman" w:hAnsi="Times New Roman" w:cs="Times New Roman"/>
                <w:color w:val="000000"/>
                <w:sz w:val="24"/>
                <w:szCs w:val="24"/>
                <w:lang w:eastAsia="tr-TR"/>
              </w:rPr>
              <w:t>2017</w:t>
            </w:r>
          </w:p>
        </w:tc>
        <w:tc>
          <w:tcPr>
            <w:tcW w:w="4182" w:type="dxa"/>
            <w:shd w:val="clear" w:color="auto" w:fill="auto"/>
            <w:noWrap/>
            <w:vAlign w:val="bottom"/>
            <w:hideMark/>
          </w:tcPr>
          <w:p w:rsidR="00136CF4" w:rsidRPr="00136CF4" w:rsidRDefault="00136CF4" w:rsidP="00B62424">
            <w:pPr>
              <w:spacing w:after="0" w:line="240" w:lineRule="auto"/>
              <w:jc w:val="center"/>
              <w:rPr>
                <w:rFonts w:ascii="Times New Roman" w:eastAsia="Times New Roman" w:hAnsi="Times New Roman" w:cs="Times New Roman"/>
                <w:color w:val="000000"/>
                <w:sz w:val="24"/>
                <w:szCs w:val="24"/>
                <w:lang w:eastAsia="tr-TR"/>
              </w:rPr>
            </w:pPr>
            <w:r w:rsidRPr="00136CF4">
              <w:rPr>
                <w:rFonts w:ascii="Times New Roman" w:eastAsia="Times New Roman" w:hAnsi="Times New Roman" w:cs="Times New Roman"/>
                <w:color w:val="000000"/>
                <w:sz w:val="24"/>
                <w:szCs w:val="24"/>
                <w:lang w:eastAsia="tr-TR"/>
              </w:rPr>
              <w:t>3.426.786</w:t>
            </w:r>
          </w:p>
        </w:tc>
      </w:tr>
      <w:tr w:rsidR="00136CF4" w:rsidRPr="00136CF4" w:rsidTr="00B62424">
        <w:trPr>
          <w:trHeight w:val="465"/>
          <w:jc w:val="center"/>
        </w:trPr>
        <w:tc>
          <w:tcPr>
            <w:tcW w:w="1200" w:type="dxa"/>
            <w:shd w:val="clear" w:color="auto" w:fill="BDD6EE" w:themeFill="accent1" w:themeFillTint="66"/>
            <w:noWrap/>
            <w:vAlign w:val="bottom"/>
            <w:hideMark/>
          </w:tcPr>
          <w:p w:rsidR="00136CF4" w:rsidRPr="00136CF4" w:rsidRDefault="00136CF4" w:rsidP="00B62424">
            <w:pPr>
              <w:spacing w:after="0" w:line="240" w:lineRule="auto"/>
              <w:jc w:val="center"/>
              <w:rPr>
                <w:rFonts w:ascii="Times New Roman" w:eastAsia="Times New Roman" w:hAnsi="Times New Roman" w:cs="Times New Roman"/>
                <w:color w:val="000000"/>
                <w:sz w:val="24"/>
                <w:szCs w:val="24"/>
                <w:lang w:eastAsia="tr-TR"/>
              </w:rPr>
            </w:pPr>
            <w:r w:rsidRPr="00136CF4">
              <w:rPr>
                <w:rFonts w:ascii="Times New Roman" w:eastAsia="Times New Roman" w:hAnsi="Times New Roman" w:cs="Times New Roman"/>
                <w:color w:val="000000"/>
                <w:sz w:val="24"/>
                <w:szCs w:val="24"/>
                <w:lang w:eastAsia="tr-TR"/>
              </w:rPr>
              <w:t>2018</w:t>
            </w:r>
          </w:p>
        </w:tc>
        <w:tc>
          <w:tcPr>
            <w:tcW w:w="4182" w:type="dxa"/>
            <w:shd w:val="clear" w:color="auto" w:fill="BDD6EE" w:themeFill="accent1" w:themeFillTint="66"/>
            <w:noWrap/>
            <w:vAlign w:val="bottom"/>
            <w:hideMark/>
          </w:tcPr>
          <w:p w:rsidR="00136CF4" w:rsidRPr="00136CF4" w:rsidRDefault="00136CF4" w:rsidP="00B62424">
            <w:pPr>
              <w:spacing w:after="0" w:line="240" w:lineRule="auto"/>
              <w:jc w:val="center"/>
              <w:rPr>
                <w:rFonts w:ascii="Times New Roman" w:eastAsia="Times New Roman" w:hAnsi="Times New Roman" w:cs="Times New Roman"/>
                <w:color w:val="000000"/>
                <w:sz w:val="24"/>
                <w:szCs w:val="24"/>
                <w:lang w:eastAsia="tr-TR"/>
              </w:rPr>
            </w:pPr>
            <w:r w:rsidRPr="00136CF4">
              <w:rPr>
                <w:rFonts w:ascii="Times New Roman" w:eastAsia="Times New Roman" w:hAnsi="Times New Roman" w:cs="Times New Roman"/>
                <w:color w:val="000000"/>
                <w:sz w:val="24"/>
                <w:szCs w:val="24"/>
                <w:lang w:eastAsia="tr-TR"/>
              </w:rPr>
              <w:t>3.623.192</w:t>
            </w:r>
          </w:p>
        </w:tc>
      </w:tr>
      <w:tr w:rsidR="00136CF4" w:rsidRPr="00136CF4" w:rsidTr="00B62424">
        <w:trPr>
          <w:trHeight w:val="465"/>
          <w:jc w:val="center"/>
        </w:trPr>
        <w:tc>
          <w:tcPr>
            <w:tcW w:w="1200" w:type="dxa"/>
            <w:shd w:val="clear" w:color="auto" w:fill="auto"/>
            <w:noWrap/>
            <w:vAlign w:val="bottom"/>
            <w:hideMark/>
          </w:tcPr>
          <w:p w:rsidR="00136CF4" w:rsidRPr="00136CF4" w:rsidRDefault="00136CF4" w:rsidP="00B62424">
            <w:pPr>
              <w:spacing w:after="0" w:line="240" w:lineRule="auto"/>
              <w:jc w:val="center"/>
              <w:rPr>
                <w:rFonts w:ascii="Times New Roman" w:eastAsia="Times New Roman" w:hAnsi="Times New Roman" w:cs="Times New Roman"/>
                <w:color w:val="000000"/>
                <w:sz w:val="24"/>
                <w:szCs w:val="24"/>
                <w:lang w:eastAsia="tr-TR"/>
              </w:rPr>
            </w:pPr>
            <w:r w:rsidRPr="00136CF4">
              <w:rPr>
                <w:rFonts w:ascii="Times New Roman" w:eastAsia="Times New Roman" w:hAnsi="Times New Roman" w:cs="Times New Roman"/>
                <w:color w:val="000000"/>
                <w:sz w:val="24"/>
                <w:szCs w:val="24"/>
                <w:lang w:eastAsia="tr-TR"/>
              </w:rPr>
              <w:t>2019</w:t>
            </w:r>
          </w:p>
        </w:tc>
        <w:tc>
          <w:tcPr>
            <w:tcW w:w="4182" w:type="dxa"/>
            <w:shd w:val="clear" w:color="auto" w:fill="auto"/>
            <w:noWrap/>
            <w:vAlign w:val="bottom"/>
            <w:hideMark/>
          </w:tcPr>
          <w:p w:rsidR="00136CF4" w:rsidRPr="00136CF4" w:rsidRDefault="00136CF4" w:rsidP="00B62424">
            <w:pPr>
              <w:spacing w:after="0" w:line="240" w:lineRule="auto"/>
              <w:jc w:val="center"/>
              <w:rPr>
                <w:rFonts w:ascii="Times New Roman" w:eastAsia="Times New Roman" w:hAnsi="Times New Roman" w:cs="Times New Roman"/>
                <w:color w:val="000000"/>
                <w:sz w:val="24"/>
                <w:szCs w:val="24"/>
                <w:lang w:eastAsia="tr-TR"/>
              </w:rPr>
            </w:pPr>
            <w:r w:rsidRPr="00136CF4">
              <w:rPr>
                <w:rFonts w:ascii="Times New Roman" w:eastAsia="Times New Roman" w:hAnsi="Times New Roman" w:cs="Times New Roman"/>
                <w:color w:val="000000"/>
                <w:sz w:val="24"/>
                <w:szCs w:val="24"/>
                <w:lang w:eastAsia="tr-TR"/>
              </w:rPr>
              <w:t>3.576.370</w:t>
            </w:r>
          </w:p>
        </w:tc>
      </w:tr>
      <w:tr w:rsidR="00136CF4" w:rsidRPr="00136CF4" w:rsidTr="00B62424">
        <w:trPr>
          <w:trHeight w:val="465"/>
          <w:jc w:val="center"/>
        </w:trPr>
        <w:tc>
          <w:tcPr>
            <w:tcW w:w="1200" w:type="dxa"/>
            <w:shd w:val="clear" w:color="auto" w:fill="BDD6EE" w:themeFill="accent1" w:themeFillTint="66"/>
            <w:noWrap/>
            <w:vAlign w:val="bottom"/>
            <w:hideMark/>
          </w:tcPr>
          <w:p w:rsidR="00136CF4" w:rsidRPr="00136CF4" w:rsidRDefault="00136CF4" w:rsidP="00B62424">
            <w:pPr>
              <w:spacing w:after="0" w:line="240" w:lineRule="auto"/>
              <w:jc w:val="center"/>
              <w:rPr>
                <w:rFonts w:ascii="Times New Roman" w:eastAsia="Times New Roman" w:hAnsi="Times New Roman" w:cs="Times New Roman"/>
                <w:color w:val="000000"/>
                <w:sz w:val="24"/>
                <w:szCs w:val="24"/>
                <w:lang w:eastAsia="tr-TR"/>
              </w:rPr>
            </w:pPr>
            <w:r w:rsidRPr="00136CF4">
              <w:rPr>
                <w:rFonts w:ascii="Times New Roman" w:eastAsia="Times New Roman" w:hAnsi="Times New Roman" w:cs="Times New Roman"/>
                <w:color w:val="000000"/>
                <w:sz w:val="24"/>
                <w:szCs w:val="24"/>
                <w:lang w:eastAsia="tr-TR"/>
              </w:rPr>
              <w:t>2020</w:t>
            </w:r>
          </w:p>
        </w:tc>
        <w:tc>
          <w:tcPr>
            <w:tcW w:w="4182" w:type="dxa"/>
            <w:shd w:val="clear" w:color="auto" w:fill="BDD6EE" w:themeFill="accent1" w:themeFillTint="66"/>
            <w:noWrap/>
            <w:vAlign w:val="bottom"/>
            <w:hideMark/>
          </w:tcPr>
          <w:p w:rsidR="00136CF4" w:rsidRPr="00136CF4" w:rsidRDefault="00136CF4" w:rsidP="00B62424">
            <w:pPr>
              <w:spacing w:after="0" w:line="240" w:lineRule="auto"/>
              <w:jc w:val="center"/>
              <w:rPr>
                <w:rFonts w:ascii="Times New Roman" w:eastAsia="Times New Roman" w:hAnsi="Times New Roman" w:cs="Times New Roman"/>
                <w:color w:val="000000"/>
                <w:sz w:val="24"/>
                <w:szCs w:val="24"/>
                <w:lang w:eastAsia="tr-TR"/>
              </w:rPr>
            </w:pPr>
            <w:r w:rsidRPr="00136CF4">
              <w:rPr>
                <w:rFonts w:ascii="Times New Roman" w:eastAsia="Times New Roman" w:hAnsi="Times New Roman" w:cs="Times New Roman"/>
                <w:color w:val="000000"/>
                <w:sz w:val="24"/>
                <w:szCs w:val="24"/>
                <w:lang w:eastAsia="tr-TR"/>
              </w:rPr>
              <w:t>3.571.175</w:t>
            </w:r>
          </w:p>
        </w:tc>
      </w:tr>
    </w:tbl>
    <w:p w:rsidR="00136CF4" w:rsidRDefault="00136CF4">
      <w:pPr>
        <w:rPr>
          <w:noProof/>
          <w:lang w:eastAsia="tr-TR"/>
        </w:rPr>
      </w:pPr>
    </w:p>
    <w:p w:rsidR="00136CF4" w:rsidRDefault="00136CF4">
      <w:pPr>
        <w:rPr>
          <w:noProof/>
          <w:lang w:eastAsia="tr-TR"/>
        </w:rPr>
      </w:pPr>
    </w:p>
    <w:p w:rsidR="00136CF4" w:rsidRDefault="00136CF4">
      <w:pPr>
        <w:rPr>
          <w:noProof/>
          <w:lang w:eastAsia="tr-TR"/>
        </w:rPr>
      </w:pPr>
    </w:p>
    <w:p w:rsidR="00136CF4" w:rsidRDefault="00136CF4">
      <w:pPr>
        <w:rPr>
          <w:noProof/>
          <w:lang w:eastAsia="tr-TR"/>
        </w:rPr>
      </w:pPr>
      <w:r>
        <w:rPr>
          <w:noProof/>
          <w:lang w:eastAsia="tr-TR"/>
        </w:rPr>
        <w:drawing>
          <wp:inline distT="0" distB="0" distL="0" distR="0" wp14:anchorId="181BBAA8">
            <wp:extent cx="6505812" cy="3466465"/>
            <wp:effectExtent l="0" t="0" r="9525" b="63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53826" cy="3492048"/>
                    </a:xfrm>
                    <a:prstGeom prst="rect">
                      <a:avLst/>
                    </a:prstGeom>
                    <a:noFill/>
                  </pic:spPr>
                </pic:pic>
              </a:graphicData>
            </a:graphic>
          </wp:inline>
        </w:drawing>
      </w:r>
    </w:p>
    <w:p w:rsidR="00136CF4" w:rsidRPr="00B62424" w:rsidRDefault="00B62424" w:rsidP="00B62424">
      <w:pPr>
        <w:ind w:firstLine="708"/>
        <w:jc w:val="both"/>
        <w:rPr>
          <w:rFonts w:ascii="Times New Roman" w:hAnsi="Times New Roman" w:cs="Times New Roman"/>
          <w:noProof/>
          <w:sz w:val="26"/>
          <w:szCs w:val="26"/>
          <w:lang w:eastAsia="tr-TR"/>
        </w:rPr>
      </w:pPr>
      <w:r w:rsidRPr="00B62424">
        <w:rPr>
          <w:rFonts w:ascii="Times New Roman" w:hAnsi="Times New Roman" w:cs="Times New Roman"/>
          <w:noProof/>
          <w:sz w:val="26"/>
          <w:szCs w:val="26"/>
          <w:lang w:eastAsia="tr-TR"/>
        </w:rPr>
        <w:lastRenderedPageBreak/>
        <w:t xml:space="preserve">Hatay’da bulunan Suriyeli sığınmacı sayısı ise 438.330 olmakta, </w:t>
      </w:r>
      <w:r>
        <w:rPr>
          <w:rFonts w:ascii="Times New Roman" w:hAnsi="Times New Roman" w:cs="Times New Roman"/>
          <w:noProof/>
          <w:sz w:val="26"/>
          <w:szCs w:val="26"/>
          <w:lang w:eastAsia="tr-TR"/>
        </w:rPr>
        <w:t>bu sayı ülkemizde bulunan toplam sığınmacı sayısının %12,27’sini oluşturmaktadır. Hatay; İstanbul ve Gaziantep’ten sonra en fazla Suriyeli sığınmacının misafir edildiği 3. İl konumundadır. Hatay’ın nüfusunun 1.609.856 olduğu düşünüldüğünde de, 438.330 olan Suriyeli nüfusu Hatay’ın toplam nüfusunun %27,23’lük bölümü olmaktadır. Suriyeli nüfusun büyük bir bölümünün Hatay’da yaşaması, şehrimizin ekonomik ve sosyal hayatını zorlaştırmakta, şehrimizin dengelerini önemli ölçüde değiştirmektedir.</w:t>
      </w:r>
    </w:p>
    <w:p w:rsidR="00AE3D07" w:rsidRDefault="00136CF4">
      <w:r>
        <w:rPr>
          <w:noProof/>
          <w:lang w:eastAsia="tr-TR"/>
        </w:rPr>
        <w:drawing>
          <wp:inline distT="0" distB="0" distL="0" distR="0">
            <wp:extent cx="5807050" cy="7124700"/>
            <wp:effectExtent l="0" t="0" r="3810" b="0"/>
            <wp:docPr id="1" name="Resim 1" descr="C:\Users\Lenovo\Desktop\Gecici-koruma_05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Gecici-koruma_05_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19089" cy="7139471"/>
                    </a:xfrm>
                    <a:prstGeom prst="rect">
                      <a:avLst/>
                    </a:prstGeom>
                    <a:noFill/>
                    <a:ln>
                      <a:noFill/>
                    </a:ln>
                  </pic:spPr>
                </pic:pic>
              </a:graphicData>
            </a:graphic>
          </wp:inline>
        </w:drawing>
      </w:r>
    </w:p>
    <w:p w:rsidR="0019266B" w:rsidRDefault="00ED0B77" w:rsidP="0019266B">
      <w:pPr>
        <w:pStyle w:val="ListeParagraf"/>
        <w:numPr>
          <w:ilvl w:val="0"/>
          <w:numId w:val="1"/>
        </w:numPr>
        <w:rPr>
          <w:rFonts w:ascii="Times New Roman" w:hAnsi="Times New Roman" w:cs="Times New Roman"/>
          <w:b/>
          <w:sz w:val="26"/>
          <w:szCs w:val="26"/>
        </w:rPr>
      </w:pPr>
      <w:r>
        <w:rPr>
          <w:rFonts w:ascii="Times New Roman" w:hAnsi="Times New Roman" w:cs="Times New Roman"/>
          <w:b/>
          <w:sz w:val="26"/>
          <w:szCs w:val="26"/>
        </w:rPr>
        <w:lastRenderedPageBreak/>
        <w:t>Hatay’ın i</w:t>
      </w:r>
      <w:r w:rsidR="00B62424" w:rsidRPr="00B62424">
        <w:rPr>
          <w:rFonts w:ascii="Times New Roman" w:hAnsi="Times New Roman" w:cs="Times New Roman"/>
          <w:b/>
          <w:sz w:val="26"/>
          <w:szCs w:val="26"/>
        </w:rPr>
        <w:t>lçeler</w:t>
      </w:r>
      <w:r>
        <w:rPr>
          <w:rFonts w:ascii="Times New Roman" w:hAnsi="Times New Roman" w:cs="Times New Roman"/>
          <w:b/>
          <w:sz w:val="26"/>
          <w:szCs w:val="26"/>
        </w:rPr>
        <w:t>i</w:t>
      </w:r>
      <w:r w:rsidR="00B62424" w:rsidRPr="00B62424">
        <w:rPr>
          <w:rFonts w:ascii="Times New Roman" w:hAnsi="Times New Roman" w:cs="Times New Roman"/>
          <w:b/>
          <w:sz w:val="26"/>
          <w:szCs w:val="26"/>
        </w:rPr>
        <w:t xml:space="preserve"> arası</w:t>
      </w:r>
      <w:r>
        <w:rPr>
          <w:rFonts w:ascii="Times New Roman" w:hAnsi="Times New Roman" w:cs="Times New Roman"/>
          <w:b/>
          <w:sz w:val="26"/>
          <w:szCs w:val="26"/>
        </w:rPr>
        <w:t>ndaki</w:t>
      </w:r>
      <w:r w:rsidR="00B62424" w:rsidRPr="00B62424">
        <w:rPr>
          <w:rFonts w:ascii="Times New Roman" w:hAnsi="Times New Roman" w:cs="Times New Roman"/>
          <w:b/>
          <w:sz w:val="26"/>
          <w:szCs w:val="26"/>
        </w:rPr>
        <w:t xml:space="preserve"> gelişmişlik farkları</w:t>
      </w:r>
    </w:p>
    <w:p w:rsidR="0019266B" w:rsidRDefault="0019266B" w:rsidP="0019266B">
      <w:pPr>
        <w:ind w:firstLine="708"/>
        <w:jc w:val="both"/>
        <w:rPr>
          <w:rFonts w:ascii="Times New Roman" w:hAnsi="Times New Roman" w:cs="Times New Roman"/>
          <w:sz w:val="26"/>
          <w:szCs w:val="26"/>
        </w:rPr>
      </w:pPr>
      <w:r w:rsidRPr="0019266B">
        <w:rPr>
          <w:rFonts w:ascii="Times New Roman" w:hAnsi="Times New Roman" w:cs="Times New Roman"/>
          <w:sz w:val="26"/>
          <w:szCs w:val="26"/>
        </w:rPr>
        <w:t>Hatay ekonomisini ayakta tutan İske</w:t>
      </w:r>
      <w:r>
        <w:rPr>
          <w:rFonts w:ascii="Times New Roman" w:hAnsi="Times New Roman" w:cs="Times New Roman"/>
          <w:sz w:val="26"/>
          <w:szCs w:val="26"/>
        </w:rPr>
        <w:t xml:space="preserve">nderun, Dörtyol, </w:t>
      </w:r>
      <w:proofErr w:type="spellStart"/>
      <w:r>
        <w:rPr>
          <w:rFonts w:ascii="Times New Roman" w:hAnsi="Times New Roman" w:cs="Times New Roman"/>
          <w:sz w:val="26"/>
          <w:szCs w:val="26"/>
        </w:rPr>
        <w:t>Payas</w:t>
      </w:r>
      <w:proofErr w:type="spellEnd"/>
      <w:r>
        <w:rPr>
          <w:rFonts w:ascii="Times New Roman" w:hAnsi="Times New Roman" w:cs="Times New Roman"/>
          <w:sz w:val="26"/>
          <w:szCs w:val="26"/>
        </w:rPr>
        <w:t xml:space="preserve"> hattında</w:t>
      </w:r>
      <w:r w:rsidRPr="0019266B">
        <w:rPr>
          <w:rFonts w:ascii="Times New Roman" w:hAnsi="Times New Roman" w:cs="Times New Roman"/>
          <w:sz w:val="26"/>
          <w:szCs w:val="26"/>
        </w:rPr>
        <w:t xml:space="preserve"> yani İskenderun Körfez bölgesinde kümelenen demir çelik endüstrisi; hem ilçelerin hem de sektörlerin performansları arasında büyük farklılıklara yol açmaktadır. Sanayi şehirlerinden biri olarak bilinen ilimizin imalat s</w:t>
      </w:r>
      <w:r>
        <w:rPr>
          <w:rFonts w:ascii="Times New Roman" w:hAnsi="Times New Roman" w:cs="Times New Roman"/>
          <w:sz w:val="26"/>
          <w:szCs w:val="26"/>
        </w:rPr>
        <w:t>anayi net satışlarının önemli bir bölümünü</w:t>
      </w:r>
      <w:r w:rsidRPr="0019266B">
        <w:rPr>
          <w:rFonts w:ascii="Times New Roman" w:hAnsi="Times New Roman" w:cs="Times New Roman"/>
          <w:sz w:val="26"/>
          <w:szCs w:val="26"/>
        </w:rPr>
        <w:t xml:space="preserve"> 15 ilçemizden 2’si (İskenderun ve Dörtyol) gerçekleştirmektedir. Antakya dâhil edildiğinde ilk üç ilçenin toplam imalat sanayi net satış</w:t>
      </w:r>
      <w:r>
        <w:rPr>
          <w:rFonts w:ascii="Times New Roman" w:hAnsi="Times New Roman" w:cs="Times New Roman"/>
          <w:sz w:val="26"/>
          <w:szCs w:val="26"/>
        </w:rPr>
        <w:t>larındaki ağırlığı ise %90’ları aşmaktadır.</w:t>
      </w:r>
    </w:p>
    <w:p w:rsidR="0019266B" w:rsidRPr="0019266B" w:rsidRDefault="00ED0B77" w:rsidP="0019266B">
      <w:pPr>
        <w:pStyle w:val="ListeParagraf"/>
        <w:numPr>
          <w:ilvl w:val="0"/>
          <w:numId w:val="1"/>
        </w:numPr>
        <w:jc w:val="both"/>
        <w:rPr>
          <w:rFonts w:ascii="Times New Roman" w:hAnsi="Times New Roman" w:cs="Times New Roman"/>
          <w:b/>
          <w:sz w:val="26"/>
          <w:szCs w:val="26"/>
        </w:rPr>
      </w:pPr>
      <w:r>
        <w:rPr>
          <w:rFonts w:ascii="Times New Roman" w:hAnsi="Times New Roman" w:cs="Times New Roman"/>
          <w:b/>
          <w:sz w:val="26"/>
          <w:szCs w:val="26"/>
        </w:rPr>
        <w:t xml:space="preserve">Hatay’ın </w:t>
      </w:r>
      <w:r w:rsidR="0019266B" w:rsidRPr="0019266B">
        <w:rPr>
          <w:rFonts w:ascii="Times New Roman" w:hAnsi="Times New Roman" w:cs="Times New Roman"/>
          <w:b/>
          <w:sz w:val="26"/>
          <w:szCs w:val="26"/>
        </w:rPr>
        <w:t>Coğra</w:t>
      </w:r>
      <w:r w:rsidR="0019266B">
        <w:rPr>
          <w:rFonts w:ascii="Times New Roman" w:hAnsi="Times New Roman" w:cs="Times New Roman"/>
          <w:b/>
          <w:sz w:val="26"/>
          <w:szCs w:val="26"/>
        </w:rPr>
        <w:t>fi Konumun</w:t>
      </w:r>
      <w:r>
        <w:rPr>
          <w:rFonts w:ascii="Times New Roman" w:hAnsi="Times New Roman" w:cs="Times New Roman"/>
          <w:b/>
          <w:sz w:val="26"/>
          <w:szCs w:val="26"/>
        </w:rPr>
        <w:t>un</w:t>
      </w:r>
      <w:r w:rsidR="0019266B">
        <w:rPr>
          <w:rFonts w:ascii="Times New Roman" w:hAnsi="Times New Roman" w:cs="Times New Roman"/>
          <w:b/>
          <w:sz w:val="26"/>
          <w:szCs w:val="26"/>
        </w:rPr>
        <w:t xml:space="preserve"> sebep olduğu riskler</w:t>
      </w:r>
    </w:p>
    <w:p w:rsidR="0019266B" w:rsidRDefault="0019266B" w:rsidP="0019266B">
      <w:pPr>
        <w:ind w:firstLine="708"/>
        <w:jc w:val="both"/>
        <w:rPr>
          <w:rFonts w:ascii="Times New Roman" w:hAnsi="Times New Roman" w:cs="Times New Roman"/>
          <w:sz w:val="26"/>
          <w:szCs w:val="26"/>
        </w:rPr>
      </w:pPr>
      <w:r w:rsidRPr="0019266B">
        <w:rPr>
          <w:rFonts w:ascii="Times New Roman" w:hAnsi="Times New Roman" w:cs="Times New Roman"/>
          <w:sz w:val="26"/>
          <w:szCs w:val="26"/>
        </w:rPr>
        <w:t>Ortadoğu Ülkelerinde yaşanan karışıklıklar, coğrafi yakınlığı sebebiyle Hatay’</w:t>
      </w:r>
      <w:r>
        <w:rPr>
          <w:rFonts w:ascii="Times New Roman" w:hAnsi="Times New Roman" w:cs="Times New Roman"/>
          <w:sz w:val="26"/>
          <w:szCs w:val="26"/>
        </w:rPr>
        <w:t>ı olumsuz yönde etkilemektedir. Bölgemizdeki savaş algısı sebebiyle yatırımlar gerilemektedir. Özellikle turizm, nakliye ve dış ticaretle uğraşan firmalar zorluklar yaşamaktadır.</w:t>
      </w:r>
    </w:p>
    <w:p w:rsidR="0019266B" w:rsidRPr="0019266B" w:rsidRDefault="00ED0B77" w:rsidP="0019266B">
      <w:pPr>
        <w:pStyle w:val="ListeParagraf"/>
        <w:numPr>
          <w:ilvl w:val="0"/>
          <w:numId w:val="1"/>
        </w:numPr>
        <w:jc w:val="both"/>
        <w:rPr>
          <w:rFonts w:ascii="Times New Roman" w:hAnsi="Times New Roman" w:cs="Times New Roman"/>
          <w:b/>
          <w:sz w:val="26"/>
          <w:szCs w:val="26"/>
        </w:rPr>
      </w:pPr>
      <w:r>
        <w:rPr>
          <w:rFonts w:ascii="Times New Roman" w:hAnsi="Times New Roman" w:cs="Times New Roman"/>
          <w:b/>
          <w:sz w:val="26"/>
          <w:szCs w:val="26"/>
        </w:rPr>
        <w:t xml:space="preserve">Hatay’ın </w:t>
      </w:r>
      <w:r w:rsidR="0019266B" w:rsidRPr="0019266B">
        <w:rPr>
          <w:rFonts w:ascii="Times New Roman" w:hAnsi="Times New Roman" w:cs="Times New Roman"/>
          <w:b/>
          <w:sz w:val="26"/>
          <w:szCs w:val="26"/>
        </w:rPr>
        <w:t>Dış Ticaret açığı</w:t>
      </w:r>
    </w:p>
    <w:p w:rsidR="0019266B" w:rsidRDefault="0019266B" w:rsidP="0019266B">
      <w:pPr>
        <w:ind w:firstLine="708"/>
        <w:jc w:val="both"/>
        <w:rPr>
          <w:rFonts w:ascii="Times New Roman" w:hAnsi="Times New Roman" w:cs="Times New Roman"/>
          <w:sz w:val="26"/>
          <w:szCs w:val="26"/>
        </w:rPr>
      </w:pPr>
      <w:r>
        <w:rPr>
          <w:rFonts w:ascii="Times New Roman" w:hAnsi="Times New Roman" w:cs="Times New Roman"/>
          <w:sz w:val="26"/>
          <w:szCs w:val="26"/>
        </w:rPr>
        <w:t xml:space="preserve">Türkiye İstatistik Kurumu’ndan alınan bilgilere göre Hataylı firmalar tarafından 2019 yılsonu itibariyle 2,85 milyar dolarlık ihracat yaparken, 3,38 milyar dolarlık ithalat yapılmıştır. </w:t>
      </w:r>
      <w:r w:rsidR="006A10D4">
        <w:rPr>
          <w:rFonts w:ascii="Times New Roman" w:hAnsi="Times New Roman" w:cs="Times New Roman"/>
          <w:sz w:val="26"/>
          <w:szCs w:val="26"/>
        </w:rPr>
        <w:t>Türkiye İstatistik Kurumu’nun son 5 yıllık verileri incelendiğinde, Hataylı firmalarca yapılan dış ticaret verileri aşağıdaki gibi olmaktadır.</w:t>
      </w:r>
    </w:p>
    <w:tbl>
      <w:tblPr>
        <w:tblW w:w="4320" w:type="dxa"/>
        <w:jc w:val="center"/>
        <w:tblCellMar>
          <w:left w:w="70" w:type="dxa"/>
          <w:right w:w="70" w:type="dxa"/>
        </w:tblCellMar>
        <w:tblLook w:val="04A0" w:firstRow="1" w:lastRow="0" w:firstColumn="1" w:lastColumn="0" w:noHBand="0" w:noVBand="1"/>
      </w:tblPr>
      <w:tblGrid>
        <w:gridCol w:w="960"/>
        <w:gridCol w:w="1680"/>
        <w:gridCol w:w="1680"/>
      </w:tblGrid>
      <w:tr w:rsidR="006A10D4" w:rsidRPr="006A10D4" w:rsidTr="006A10D4">
        <w:trPr>
          <w:trHeight w:val="465"/>
          <w:jc w:val="center"/>
        </w:trPr>
        <w:tc>
          <w:tcPr>
            <w:tcW w:w="960"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6A10D4" w:rsidRPr="006A10D4" w:rsidRDefault="006A10D4" w:rsidP="006A10D4">
            <w:pPr>
              <w:spacing w:after="0" w:line="240" w:lineRule="auto"/>
              <w:jc w:val="center"/>
              <w:rPr>
                <w:rFonts w:ascii="Times New Roman" w:eastAsia="Times New Roman" w:hAnsi="Times New Roman" w:cs="Times New Roman"/>
                <w:b/>
                <w:bCs/>
                <w:color w:val="FFFFFF" w:themeColor="background1"/>
                <w:sz w:val="24"/>
                <w:szCs w:val="24"/>
                <w:lang w:eastAsia="tr-TR"/>
              </w:rPr>
            </w:pPr>
            <w:r w:rsidRPr="006A10D4">
              <w:rPr>
                <w:rFonts w:ascii="Times New Roman" w:eastAsia="Times New Roman" w:hAnsi="Times New Roman" w:cs="Times New Roman"/>
                <w:b/>
                <w:bCs/>
                <w:color w:val="FFFFFF" w:themeColor="background1"/>
                <w:sz w:val="24"/>
                <w:szCs w:val="24"/>
                <w:lang w:eastAsia="tr-TR"/>
              </w:rPr>
              <w:t>Yıl</w:t>
            </w:r>
          </w:p>
        </w:tc>
        <w:tc>
          <w:tcPr>
            <w:tcW w:w="1680" w:type="dxa"/>
            <w:tcBorders>
              <w:top w:val="single" w:sz="4" w:space="0" w:color="auto"/>
              <w:left w:val="nil"/>
              <w:bottom w:val="single" w:sz="4" w:space="0" w:color="auto"/>
              <w:right w:val="single" w:sz="4" w:space="0" w:color="auto"/>
            </w:tcBorders>
            <w:shd w:val="clear" w:color="auto" w:fill="2E74B5" w:themeFill="accent1" w:themeFillShade="BF"/>
            <w:noWrap/>
            <w:vAlign w:val="center"/>
            <w:hideMark/>
          </w:tcPr>
          <w:p w:rsidR="006A10D4" w:rsidRPr="006A10D4" w:rsidRDefault="006A10D4" w:rsidP="006A10D4">
            <w:pPr>
              <w:spacing w:after="0" w:line="240" w:lineRule="auto"/>
              <w:jc w:val="center"/>
              <w:rPr>
                <w:rFonts w:ascii="Times New Roman" w:eastAsia="Times New Roman" w:hAnsi="Times New Roman" w:cs="Times New Roman"/>
                <w:b/>
                <w:bCs/>
                <w:color w:val="FFFFFF" w:themeColor="background1"/>
                <w:sz w:val="24"/>
                <w:szCs w:val="24"/>
                <w:lang w:eastAsia="tr-TR"/>
              </w:rPr>
            </w:pPr>
            <w:r w:rsidRPr="006A10D4">
              <w:rPr>
                <w:rFonts w:ascii="Times New Roman" w:eastAsia="Times New Roman" w:hAnsi="Times New Roman" w:cs="Times New Roman"/>
                <w:b/>
                <w:bCs/>
                <w:color w:val="FFFFFF" w:themeColor="background1"/>
                <w:sz w:val="24"/>
                <w:szCs w:val="24"/>
                <w:lang w:eastAsia="tr-TR"/>
              </w:rPr>
              <w:t>İhracat($)</w:t>
            </w:r>
          </w:p>
        </w:tc>
        <w:tc>
          <w:tcPr>
            <w:tcW w:w="1680" w:type="dxa"/>
            <w:tcBorders>
              <w:top w:val="single" w:sz="4" w:space="0" w:color="auto"/>
              <w:left w:val="nil"/>
              <w:bottom w:val="single" w:sz="4" w:space="0" w:color="auto"/>
              <w:right w:val="single" w:sz="4" w:space="0" w:color="auto"/>
            </w:tcBorders>
            <w:shd w:val="clear" w:color="auto" w:fill="2E74B5" w:themeFill="accent1" w:themeFillShade="BF"/>
            <w:noWrap/>
            <w:vAlign w:val="center"/>
            <w:hideMark/>
          </w:tcPr>
          <w:p w:rsidR="006A10D4" w:rsidRPr="006A10D4" w:rsidRDefault="006A10D4" w:rsidP="006A10D4">
            <w:pPr>
              <w:spacing w:after="0" w:line="240" w:lineRule="auto"/>
              <w:jc w:val="center"/>
              <w:rPr>
                <w:rFonts w:ascii="Times New Roman" w:eastAsia="Times New Roman" w:hAnsi="Times New Roman" w:cs="Times New Roman"/>
                <w:b/>
                <w:bCs/>
                <w:color w:val="FFFFFF" w:themeColor="background1"/>
                <w:sz w:val="24"/>
                <w:szCs w:val="24"/>
                <w:lang w:eastAsia="tr-TR"/>
              </w:rPr>
            </w:pPr>
            <w:r w:rsidRPr="006A10D4">
              <w:rPr>
                <w:rFonts w:ascii="Times New Roman" w:eastAsia="Times New Roman" w:hAnsi="Times New Roman" w:cs="Times New Roman"/>
                <w:b/>
                <w:bCs/>
                <w:color w:val="FFFFFF" w:themeColor="background1"/>
                <w:sz w:val="24"/>
                <w:szCs w:val="24"/>
                <w:lang w:eastAsia="tr-TR"/>
              </w:rPr>
              <w:t>İthalat($)</w:t>
            </w:r>
          </w:p>
        </w:tc>
      </w:tr>
      <w:tr w:rsidR="006A10D4" w:rsidRPr="006A10D4" w:rsidTr="006A10D4">
        <w:trPr>
          <w:trHeight w:val="46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10D4" w:rsidRPr="006A10D4" w:rsidRDefault="006A10D4" w:rsidP="006A10D4">
            <w:pPr>
              <w:spacing w:after="0" w:line="240" w:lineRule="auto"/>
              <w:jc w:val="center"/>
              <w:rPr>
                <w:rFonts w:ascii="Times New Roman" w:eastAsia="Times New Roman" w:hAnsi="Times New Roman" w:cs="Times New Roman"/>
                <w:color w:val="000000"/>
                <w:sz w:val="24"/>
                <w:szCs w:val="24"/>
                <w:lang w:eastAsia="tr-TR"/>
              </w:rPr>
            </w:pPr>
            <w:r w:rsidRPr="006A10D4">
              <w:rPr>
                <w:rFonts w:ascii="Times New Roman" w:eastAsia="Times New Roman" w:hAnsi="Times New Roman" w:cs="Times New Roman"/>
                <w:color w:val="000000"/>
                <w:sz w:val="24"/>
                <w:szCs w:val="24"/>
                <w:lang w:eastAsia="tr-TR"/>
              </w:rPr>
              <w:t>2015</w:t>
            </w:r>
          </w:p>
        </w:tc>
        <w:tc>
          <w:tcPr>
            <w:tcW w:w="1680" w:type="dxa"/>
            <w:tcBorders>
              <w:top w:val="nil"/>
              <w:left w:val="nil"/>
              <w:bottom w:val="single" w:sz="4" w:space="0" w:color="auto"/>
              <w:right w:val="single" w:sz="4" w:space="0" w:color="auto"/>
            </w:tcBorders>
            <w:shd w:val="clear" w:color="auto" w:fill="auto"/>
            <w:noWrap/>
            <w:vAlign w:val="center"/>
            <w:hideMark/>
          </w:tcPr>
          <w:p w:rsidR="006A10D4" w:rsidRPr="006A10D4" w:rsidRDefault="006A10D4" w:rsidP="006A10D4">
            <w:pPr>
              <w:spacing w:after="0" w:line="240" w:lineRule="auto"/>
              <w:jc w:val="center"/>
              <w:rPr>
                <w:rFonts w:ascii="Times New Roman" w:eastAsia="Times New Roman" w:hAnsi="Times New Roman" w:cs="Times New Roman"/>
                <w:color w:val="000000"/>
                <w:sz w:val="24"/>
                <w:szCs w:val="24"/>
                <w:lang w:eastAsia="tr-TR"/>
              </w:rPr>
            </w:pPr>
            <w:r w:rsidRPr="006A10D4">
              <w:rPr>
                <w:rFonts w:ascii="Times New Roman" w:eastAsia="Times New Roman" w:hAnsi="Times New Roman" w:cs="Times New Roman"/>
                <w:color w:val="000000"/>
                <w:sz w:val="24"/>
                <w:szCs w:val="24"/>
                <w:lang w:eastAsia="tr-TR"/>
              </w:rPr>
              <w:t>1.826.646.449</w:t>
            </w:r>
          </w:p>
        </w:tc>
        <w:tc>
          <w:tcPr>
            <w:tcW w:w="1680" w:type="dxa"/>
            <w:tcBorders>
              <w:top w:val="nil"/>
              <w:left w:val="nil"/>
              <w:bottom w:val="single" w:sz="4" w:space="0" w:color="auto"/>
              <w:right w:val="single" w:sz="4" w:space="0" w:color="auto"/>
            </w:tcBorders>
            <w:shd w:val="clear" w:color="auto" w:fill="auto"/>
            <w:noWrap/>
            <w:vAlign w:val="center"/>
            <w:hideMark/>
          </w:tcPr>
          <w:p w:rsidR="006A10D4" w:rsidRPr="006A10D4" w:rsidRDefault="006A10D4" w:rsidP="006A10D4">
            <w:pPr>
              <w:spacing w:after="0" w:line="240" w:lineRule="auto"/>
              <w:jc w:val="center"/>
              <w:rPr>
                <w:rFonts w:ascii="Times New Roman" w:eastAsia="Times New Roman" w:hAnsi="Times New Roman" w:cs="Times New Roman"/>
                <w:color w:val="000000"/>
                <w:sz w:val="24"/>
                <w:szCs w:val="24"/>
                <w:lang w:eastAsia="tr-TR"/>
              </w:rPr>
            </w:pPr>
            <w:r w:rsidRPr="006A10D4">
              <w:rPr>
                <w:rFonts w:ascii="Times New Roman" w:eastAsia="Times New Roman" w:hAnsi="Times New Roman" w:cs="Times New Roman"/>
                <w:color w:val="000000"/>
                <w:sz w:val="24"/>
                <w:szCs w:val="24"/>
                <w:lang w:eastAsia="tr-TR"/>
              </w:rPr>
              <w:t>3.232.424.737</w:t>
            </w:r>
          </w:p>
        </w:tc>
      </w:tr>
      <w:tr w:rsidR="006A10D4" w:rsidRPr="006A10D4" w:rsidTr="006A10D4">
        <w:trPr>
          <w:trHeight w:val="465"/>
          <w:jc w:val="center"/>
        </w:trPr>
        <w:tc>
          <w:tcPr>
            <w:tcW w:w="960"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6A10D4" w:rsidRPr="006A10D4" w:rsidRDefault="006A10D4" w:rsidP="006A10D4">
            <w:pPr>
              <w:spacing w:after="0" w:line="240" w:lineRule="auto"/>
              <w:jc w:val="center"/>
              <w:rPr>
                <w:rFonts w:ascii="Times New Roman" w:eastAsia="Times New Roman" w:hAnsi="Times New Roman" w:cs="Times New Roman"/>
                <w:color w:val="000000"/>
                <w:sz w:val="24"/>
                <w:szCs w:val="24"/>
                <w:lang w:eastAsia="tr-TR"/>
              </w:rPr>
            </w:pPr>
            <w:r w:rsidRPr="006A10D4">
              <w:rPr>
                <w:rFonts w:ascii="Times New Roman" w:eastAsia="Times New Roman" w:hAnsi="Times New Roman" w:cs="Times New Roman"/>
                <w:color w:val="000000"/>
                <w:sz w:val="24"/>
                <w:szCs w:val="24"/>
                <w:lang w:eastAsia="tr-TR"/>
              </w:rPr>
              <w:t>2016</w:t>
            </w:r>
          </w:p>
        </w:tc>
        <w:tc>
          <w:tcPr>
            <w:tcW w:w="1680" w:type="dxa"/>
            <w:tcBorders>
              <w:top w:val="nil"/>
              <w:left w:val="nil"/>
              <w:bottom w:val="single" w:sz="4" w:space="0" w:color="auto"/>
              <w:right w:val="single" w:sz="4" w:space="0" w:color="auto"/>
            </w:tcBorders>
            <w:shd w:val="clear" w:color="auto" w:fill="BDD6EE" w:themeFill="accent1" w:themeFillTint="66"/>
            <w:noWrap/>
            <w:vAlign w:val="center"/>
            <w:hideMark/>
          </w:tcPr>
          <w:p w:rsidR="006A10D4" w:rsidRPr="006A10D4" w:rsidRDefault="006A10D4" w:rsidP="006A10D4">
            <w:pPr>
              <w:spacing w:after="0" w:line="240" w:lineRule="auto"/>
              <w:jc w:val="center"/>
              <w:rPr>
                <w:rFonts w:ascii="Times New Roman" w:eastAsia="Times New Roman" w:hAnsi="Times New Roman" w:cs="Times New Roman"/>
                <w:color w:val="000000"/>
                <w:sz w:val="24"/>
                <w:szCs w:val="24"/>
                <w:lang w:eastAsia="tr-TR"/>
              </w:rPr>
            </w:pPr>
            <w:r w:rsidRPr="006A10D4">
              <w:rPr>
                <w:rFonts w:ascii="Times New Roman" w:eastAsia="Times New Roman" w:hAnsi="Times New Roman" w:cs="Times New Roman"/>
                <w:color w:val="000000"/>
                <w:sz w:val="24"/>
                <w:szCs w:val="24"/>
                <w:lang w:eastAsia="tr-TR"/>
              </w:rPr>
              <w:t>1.744.917.462</w:t>
            </w:r>
          </w:p>
        </w:tc>
        <w:tc>
          <w:tcPr>
            <w:tcW w:w="1680" w:type="dxa"/>
            <w:tcBorders>
              <w:top w:val="nil"/>
              <w:left w:val="nil"/>
              <w:bottom w:val="single" w:sz="4" w:space="0" w:color="auto"/>
              <w:right w:val="single" w:sz="4" w:space="0" w:color="auto"/>
            </w:tcBorders>
            <w:shd w:val="clear" w:color="auto" w:fill="BDD6EE" w:themeFill="accent1" w:themeFillTint="66"/>
            <w:noWrap/>
            <w:vAlign w:val="center"/>
            <w:hideMark/>
          </w:tcPr>
          <w:p w:rsidR="006A10D4" w:rsidRPr="006A10D4" w:rsidRDefault="006A10D4" w:rsidP="006A10D4">
            <w:pPr>
              <w:spacing w:after="0" w:line="240" w:lineRule="auto"/>
              <w:jc w:val="center"/>
              <w:rPr>
                <w:rFonts w:ascii="Times New Roman" w:eastAsia="Times New Roman" w:hAnsi="Times New Roman" w:cs="Times New Roman"/>
                <w:color w:val="000000"/>
                <w:sz w:val="24"/>
                <w:szCs w:val="24"/>
                <w:lang w:eastAsia="tr-TR"/>
              </w:rPr>
            </w:pPr>
            <w:r w:rsidRPr="006A10D4">
              <w:rPr>
                <w:rFonts w:ascii="Times New Roman" w:eastAsia="Times New Roman" w:hAnsi="Times New Roman" w:cs="Times New Roman"/>
                <w:color w:val="000000"/>
                <w:sz w:val="24"/>
                <w:szCs w:val="24"/>
                <w:lang w:eastAsia="tr-TR"/>
              </w:rPr>
              <w:t>2.570.898.961</w:t>
            </w:r>
          </w:p>
        </w:tc>
      </w:tr>
      <w:tr w:rsidR="006A10D4" w:rsidRPr="006A10D4" w:rsidTr="006A10D4">
        <w:trPr>
          <w:trHeight w:val="46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10D4" w:rsidRPr="006A10D4" w:rsidRDefault="006A10D4" w:rsidP="006A10D4">
            <w:pPr>
              <w:spacing w:after="0" w:line="240" w:lineRule="auto"/>
              <w:jc w:val="center"/>
              <w:rPr>
                <w:rFonts w:ascii="Times New Roman" w:eastAsia="Times New Roman" w:hAnsi="Times New Roman" w:cs="Times New Roman"/>
                <w:color w:val="000000"/>
                <w:sz w:val="24"/>
                <w:szCs w:val="24"/>
                <w:lang w:eastAsia="tr-TR"/>
              </w:rPr>
            </w:pPr>
            <w:r w:rsidRPr="006A10D4">
              <w:rPr>
                <w:rFonts w:ascii="Times New Roman" w:eastAsia="Times New Roman" w:hAnsi="Times New Roman" w:cs="Times New Roman"/>
                <w:color w:val="000000"/>
                <w:sz w:val="24"/>
                <w:szCs w:val="24"/>
                <w:lang w:eastAsia="tr-TR"/>
              </w:rPr>
              <w:t>2017</w:t>
            </w:r>
          </w:p>
        </w:tc>
        <w:tc>
          <w:tcPr>
            <w:tcW w:w="1680" w:type="dxa"/>
            <w:tcBorders>
              <w:top w:val="nil"/>
              <w:left w:val="nil"/>
              <w:bottom w:val="single" w:sz="4" w:space="0" w:color="auto"/>
              <w:right w:val="single" w:sz="4" w:space="0" w:color="auto"/>
            </w:tcBorders>
            <w:shd w:val="clear" w:color="auto" w:fill="auto"/>
            <w:noWrap/>
            <w:vAlign w:val="center"/>
            <w:hideMark/>
          </w:tcPr>
          <w:p w:rsidR="006A10D4" w:rsidRPr="006A10D4" w:rsidRDefault="006A10D4" w:rsidP="006A10D4">
            <w:pPr>
              <w:spacing w:after="0" w:line="240" w:lineRule="auto"/>
              <w:jc w:val="center"/>
              <w:rPr>
                <w:rFonts w:ascii="Times New Roman" w:eastAsia="Times New Roman" w:hAnsi="Times New Roman" w:cs="Times New Roman"/>
                <w:color w:val="000000"/>
                <w:sz w:val="24"/>
                <w:szCs w:val="24"/>
                <w:lang w:eastAsia="tr-TR"/>
              </w:rPr>
            </w:pPr>
            <w:r w:rsidRPr="006A10D4">
              <w:rPr>
                <w:rFonts w:ascii="Times New Roman" w:eastAsia="Times New Roman" w:hAnsi="Times New Roman" w:cs="Times New Roman"/>
                <w:color w:val="000000"/>
                <w:sz w:val="24"/>
                <w:szCs w:val="24"/>
                <w:lang w:eastAsia="tr-TR"/>
              </w:rPr>
              <w:t>2.333.075.942</w:t>
            </w:r>
          </w:p>
        </w:tc>
        <w:tc>
          <w:tcPr>
            <w:tcW w:w="1680" w:type="dxa"/>
            <w:tcBorders>
              <w:top w:val="nil"/>
              <w:left w:val="nil"/>
              <w:bottom w:val="single" w:sz="4" w:space="0" w:color="auto"/>
              <w:right w:val="single" w:sz="4" w:space="0" w:color="auto"/>
            </w:tcBorders>
            <w:shd w:val="clear" w:color="auto" w:fill="auto"/>
            <w:noWrap/>
            <w:vAlign w:val="center"/>
            <w:hideMark/>
          </w:tcPr>
          <w:p w:rsidR="006A10D4" w:rsidRPr="006A10D4" w:rsidRDefault="006A10D4" w:rsidP="006A10D4">
            <w:pPr>
              <w:spacing w:after="0" w:line="240" w:lineRule="auto"/>
              <w:jc w:val="center"/>
              <w:rPr>
                <w:rFonts w:ascii="Times New Roman" w:eastAsia="Times New Roman" w:hAnsi="Times New Roman" w:cs="Times New Roman"/>
                <w:color w:val="000000"/>
                <w:sz w:val="24"/>
                <w:szCs w:val="24"/>
                <w:lang w:eastAsia="tr-TR"/>
              </w:rPr>
            </w:pPr>
            <w:r w:rsidRPr="006A10D4">
              <w:rPr>
                <w:rFonts w:ascii="Times New Roman" w:eastAsia="Times New Roman" w:hAnsi="Times New Roman" w:cs="Times New Roman"/>
                <w:color w:val="000000"/>
                <w:sz w:val="24"/>
                <w:szCs w:val="24"/>
                <w:lang w:eastAsia="tr-TR"/>
              </w:rPr>
              <w:t>3.852.349.753</w:t>
            </w:r>
          </w:p>
        </w:tc>
      </w:tr>
      <w:tr w:rsidR="006A10D4" w:rsidRPr="006A10D4" w:rsidTr="006A10D4">
        <w:trPr>
          <w:trHeight w:val="465"/>
          <w:jc w:val="center"/>
        </w:trPr>
        <w:tc>
          <w:tcPr>
            <w:tcW w:w="960"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6A10D4" w:rsidRPr="006A10D4" w:rsidRDefault="006A10D4" w:rsidP="006A10D4">
            <w:pPr>
              <w:spacing w:after="0" w:line="240" w:lineRule="auto"/>
              <w:jc w:val="center"/>
              <w:rPr>
                <w:rFonts w:ascii="Times New Roman" w:eastAsia="Times New Roman" w:hAnsi="Times New Roman" w:cs="Times New Roman"/>
                <w:color w:val="000000"/>
                <w:sz w:val="24"/>
                <w:szCs w:val="24"/>
                <w:lang w:eastAsia="tr-TR"/>
              </w:rPr>
            </w:pPr>
            <w:r w:rsidRPr="006A10D4">
              <w:rPr>
                <w:rFonts w:ascii="Times New Roman" w:eastAsia="Times New Roman" w:hAnsi="Times New Roman" w:cs="Times New Roman"/>
                <w:color w:val="000000"/>
                <w:sz w:val="24"/>
                <w:szCs w:val="24"/>
                <w:lang w:eastAsia="tr-TR"/>
              </w:rPr>
              <w:t>2018</w:t>
            </w:r>
          </w:p>
        </w:tc>
        <w:tc>
          <w:tcPr>
            <w:tcW w:w="1680" w:type="dxa"/>
            <w:tcBorders>
              <w:top w:val="nil"/>
              <w:left w:val="nil"/>
              <w:bottom w:val="single" w:sz="4" w:space="0" w:color="auto"/>
              <w:right w:val="single" w:sz="4" w:space="0" w:color="auto"/>
            </w:tcBorders>
            <w:shd w:val="clear" w:color="auto" w:fill="BDD6EE" w:themeFill="accent1" w:themeFillTint="66"/>
            <w:noWrap/>
            <w:vAlign w:val="center"/>
            <w:hideMark/>
          </w:tcPr>
          <w:p w:rsidR="006A10D4" w:rsidRPr="006A10D4" w:rsidRDefault="006A10D4" w:rsidP="006A10D4">
            <w:pPr>
              <w:spacing w:after="0" w:line="240" w:lineRule="auto"/>
              <w:jc w:val="center"/>
              <w:rPr>
                <w:rFonts w:ascii="Times New Roman" w:eastAsia="Times New Roman" w:hAnsi="Times New Roman" w:cs="Times New Roman"/>
                <w:color w:val="000000"/>
                <w:sz w:val="24"/>
                <w:szCs w:val="24"/>
                <w:lang w:eastAsia="tr-TR"/>
              </w:rPr>
            </w:pPr>
            <w:r w:rsidRPr="006A10D4">
              <w:rPr>
                <w:rFonts w:ascii="Times New Roman" w:eastAsia="Times New Roman" w:hAnsi="Times New Roman" w:cs="Times New Roman"/>
                <w:color w:val="000000"/>
                <w:sz w:val="24"/>
                <w:szCs w:val="24"/>
                <w:lang w:eastAsia="tr-TR"/>
              </w:rPr>
              <w:t>2.846.890.044</w:t>
            </w:r>
          </w:p>
        </w:tc>
        <w:tc>
          <w:tcPr>
            <w:tcW w:w="1680" w:type="dxa"/>
            <w:tcBorders>
              <w:top w:val="nil"/>
              <w:left w:val="nil"/>
              <w:bottom w:val="single" w:sz="4" w:space="0" w:color="auto"/>
              <w:right w:val="single" w:sz="4" w:space="0" w:color="auto"/>
            </w:tcBorders>
            <w:shd w:val="clear" w:color="auto" w:fill="BDD6EE" w:themeFill="accent1" w:themeFillTint="66"/>
            <w:noWrap/>
            <w:vAlign w:val="center"/>
            <w:hideMark/>
          </w:tcPr>
          <w:p w:rsidR="006A10D4" w:rsidRPr="006A10D4" w:rsidRDefault="006A10D4" w:rsidP="006A10D4">
            <w:pPr>
              <w:spacing w:after="0" w:line="240" w:lineRule="auto"/>
              <w:jc w:val="center"/>
              <w:rPr>
                <w:rFonts w:ascii="Times New Roman" w:eastAsia="Times New Roman" w:hAnsi="Times New Roman" w:cs="Times New Roman"/>
                <w:color w:val="000000"/>
                <w:sz w:val="24"/>
                <w:szCs w:val="24"/>
                <w:lang w:eastAsia="tr-TR"/>
              </w:rPr>
            </w:pPr>
            <w:r w:rsidRPr="006A10D4">
              <w:rPr>
                <w:rFonts w:ascii="Times New Roman" w:eastAsia="Times New Roman" w:hAnsi="Times New Roman" w:cs="Times New Roman"/>
                <w:color w:val="000000"/>
                <w:sz w:val="24"/>
                <w:szCs w:val="24"/>
                <w:lang w:eastAsia="tr-TR"/>
              </w:rPr>
              <w:t>4.071.558.164</w:t>
            </w:r>
          </w:p>
        </w:tc>
      </w:tr>
      <w:tr w:rsidR="006A10D4" w:rsidRPr="006A10D4" w:rsidTr="006A10D4">
        <w:trPr>
          <w:trHeight w:val="46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10D4" w:rsidRPr="006A10D4" w:rsidRDefault="006A10D4" w:rsidP="006A10D4">
            <w:pPr>
              <w:spacing w:after="0" w:line="240" w:lineRule="auto"/>
              <w:jc w:val="center"/>
              <w:rPr>
                <w:rFonts w:ascii="Times New Roman" w:eastAsia="Times New Roman" w:hAnsi="Times New Roman" w:cs="Times New Roman"/>
                <w:color w:val="000000"/>
                <w:sz w:val="24"/>
                <w:szCs w:val="24"/>
                <w:lang w:eastAsia="tr-TR"/>
              </w:rPr>
            </w:pPr>
            <w:r w:rsidRPr="006A10D4">
              <w:rPr>
                <w:rFonts w:ascii="Times New Roman" w:eastAsia="Times New Roman" w:hAnsi="Times New Roman" w:cs="Times New Roman"/>
                <w:color w:val="000000"/>
                <w:sz w:val="24"/>
                <w:szCs w:val="24"/>
                <w:lang w:eastAsia="tr-TR"/>
              </w:rPr>
              <w:t>2019</w:t>
            </w:r>
          </w:p>
        </w:tc>
        <w:tc>
          <w:tcPr>
            <w:tcW w:w="1680" w:type="dxa"/>
            <w:tcBorders>
              <w:top w:val="nil"/>
              <w:left w:val="nil"/>
              <w:bottom w:val="single" w:sz="4" w:space="0" w:color="auto"/>
              <w:right w:val="single" w:sz="4" w:space="0" w:color="auto"/>
            </w:tcBorders>
            <w:shd w:val="clear" w:color="auto" w:fill="auto"/>
            <w:noWrap/>
            <w:vAlign w:val="center"/>
            <w:hideMark/>
          </w:tcPr>
          <w:p w:rsidR="006A10D4" w:rsidRPr="006A10D4" w:rsidRDefault="006A10D4" w:rsidP="006A10D4">
            <w:pPr>
              <w:spacing w:after="0" w:line="240" w:lineRule="auto"/>
              <w:jc w:val="center"/>
              <w:rPr>
                <w:rFonts w:ascii="Times New Roman" w:eastAsia="Times New Roman" w:hAnsi="Times New Roman" w:cs="Times New Roman"/>
                <w:color w:val="000000"/>
                <w:sz w:val="24"/>
                <w:szCs w:val="24"/>
                <w:lang w:eastAsia="tr-TR"/>
              </w:rPr>
            </w:pPr>
            <w:r w:rsidRPr="006A10D4">
              <w:rPr>
                <w:rFonts w:ascii="Times New Roman" w:eastAsia="Times New Roman" w:hAnsi="Times New Roman" w:cs="Times New Roman"/>
                <w:color w:val="000000"/>
                <w:sz w:val="24"/>
                <w:szCs w:val="24"/>
                <w:lang w:eastAsia="tr-TR"/>
              </w:rPr>
              <w:t>2.850.158.275</w:t>
            </w:r>
          </w:p>
        </w:tc>
        <w:tc>
          <w:tcPr>
            <w:tcW w:w="1680" w:type="dxa"/>
            <w:tcBorders>
              <w:top w:val="nil"/>
              <w:left w:val="nil"/>
              <w:bottom w:val="single" w:sz="4" w:space="0" w:color="auto"/>
              <w:right w:val="single" w:sz="4" w:space="0" w:color="auto"/>
            </w:tcBorders>
            <w:shd w:val="clear" w:color="auto" w:fill="auto"/>
            <w:noWrap/>
            <w:vAlign w:val="center"/>
            <w:hideMark/>
          </w:tcPr>
          <w:p w:rsidR="006A10D4" w:rsidRPr="006A10D4" w:rsidRDefault="006A10D4" w:rsidP="006A10D4">
            <w:pPr>
              <w:spacing w:after="0" w:line="240" w:lineRule="auto"/>
              <w:jc w:val="center"/>
              <w:rPr>
                <w:rFonts w:ascii="Times New Roman" w:eastAsia="Times New Roman" w:hAnsi="Times New Roman" w:cs="Times New Roman"/>
                <w:color w:val="000000"/>
                <w:sz w:val="24"/>
                <w:szCs w:val="24"/>
                <w:lang w:eastAsia="tr-TR"/>
              </w:rPr>
            </w:pPr>
            <w:r w:rsidRPr="006A10D4">
              <w:rPr>
                <w:rFonts w:ascii="Times New Roman" w:eastAsia="Times New Roman" w:hAnsi="Times New Roman" w:cs="Times New Roman"/>
                <w:color w:val="000000"/>
                <w:sz w:val="24"/>
                <w:szCs w:val="24"/>
                <w:lang w:eastAsia="tr-TR"/>
              </w:rPr>
              <w:t>3.388.091.054</w:t>
            </w:r>
          </w:p>
        </w:tc>
      </w:tr>
    </w:tbl>
    <w:p w:rsidR="0019266B" w:rsidRDefault="0019266B" w:rsidP="006A10D4">
      <w:pPr>
        <w:jc w:val="both"/>
        <w:rPr>
          <w:rFonts w:ascii="Times New Roman" w:hAnsi="Times New Roman" w:cs="Times New Roman"/>
          <w:sz w:val="26"/>
          <w:szCs w:val="26"/>
        </w:rPr>
      </w:pPr>
    </w:p>
    <w:p w:rsidR="00136CF4" w:rsidRPr="00ED0B77" w:rsidRDefault="006A10D4" w:rsidP="00ED0B77">
      <w:pPr>
        <w:ind w:firstLine="708"/>
        <w:jc w:val="both"/>
        <w:rPr>
          <w:rFonts w:ascii="Times New Roman" w:hAnsi="Times New Roman" w:cs="Times New Roman"/>
          <w:sz w:val="26"/>
          <w:szCs w:val="26"/>
        </w:rPr>
      </w:pPr>
      <w:r w:rsidRPr="006A10D4">
        <w:rPr>
          <w:rFonts w:ascii="Times New Roman" w:hAnsi="Times New Roman" w:cs="Times New Roman"/>
          <w:sz w:val="26"/>
          <w:szCs w:val="26"/>
        </w:rPr>
        <w:t>Her ne kadar Hatay, ülke genelinde en fazla ihracat yapan iller arasında 9. Sırada, en fazla ithalat yapan iller arasında ise 7. Sırada yer alsa da, her yıl büyük oranda dış ticaret açığı vermektedir.</w:t>
      </w:r>
      <w:r>
        <w:rPr>
          <w:rFonts w:ascii="Times New Roman" w:hAnsi="Times New Roman" w:cs="Times New Roman"/>
          <w:sz w:val="26"/>
          <w:szCs w:val="26"/>
        </w:rPr>
        <w:t xml:space="preserve"> </w:t>
      </w:r>
      <w:r w:rsidR="0019266B" w:rsidRPr="0019266B">
        <w:rPr>
          <w:rFonts w:ascii="Times New Roman" w:hAnsi="Times New Roman" w:cs="Times New Roman"/>
          <w:sz w:val="26"/>
          <w:szCs w:val="26"/>
        </w:rPr>
        <w:t>Ülkemizin 2023 yılı 500 milyar dolarlık ihracat hedefi göz önünde bulundurulduğunda, yüksek potansiyeli olan Hatay’ın devlet desteklerinden büyük oranda yararlanması gerekmektedir.</w:t>
      </w:r>
    </w:p>
    <w:p w:rsidR="00136CF4" w:rsidRDefault="00136CF4"/>
    <w:p w:rsidR="00136CF4" w:rsidRDefault="00136CF4"/>
    <w:sectPr w:rsidR="00136CF4" w:rsidSect="00136CF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D66842"/>
    <w:multiLevelType w:val="hybridMultilevel"/>
    <w:tmpl w:val="EA52E05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DD4"/>
    <w:rsid w:val="00136CF4"/>
    <w:rsid w:val="0019266B"/>
    <w:rsid w:val="001A0BC0"/>
    <w:rsid w:val="00433555"/>
    <w:rsid w:val="005A5DD4"/>
    <w:rsid w:val="006A10D4"/>
    <w:rsid w:val="00AE3D07"/>
    <w:rsid w:val="00B62424"/>
    <w:rsid w:val="00ED0B7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9E2170-1CB8-4F20-813A-3338CCFBA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36C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945674">
      <w:bodyDiv w:val="1"/>
      <w:marLeft w:val="0"/>
      <w:marRight w:val="0"/>
      <w:marTop w:val="0"/>
      <w:marBottom w:val="0"/>
      <w:divBdr>
        <w:top w:val="none" w:sz="0" w:space="0" w:color="auto"/>
        <w:left w:val="none" w:sz="0" w:space="0" w:color="auto"/>
        <w:bottom w:val="none" w:sz="0" w:space="0" w:color="auto"/>
        <w:right w:val="none" w:sz="0" w:space="0" w:color="auto"/>
      </w:divBdr>
    </w:div>
    <w:div w:id="798955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644</Words>
  <Characters>3672</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2020-03-03T06:50:00Z</dcterms:created>
  <dcterms:modified xsi:type="dcterms:W3CDTF">2020-03-03T06:50:00Z</dcterms:modified>
</cp:coreProperties>
</file>