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6F" w:rsidRPr="00880AE3" w:rsidRDefault="00A1076F" w:rsidP="00701326">
      <w:pPr>
        <w:jc w:val="both"/>
        <w:rPr>
          <w:rFonts w:ascii="Times New Roman" w:hAnsi="Times New Roman" w:cs="Times New Roman"/>
          <w:sz w:val="24"/>
          <w:szCs w:val="24"/>
        </w:rPr>
      </w:pPr>
    </w:p>
    <w:tbl>
      <w:tblPr>
        <w:tblW w:w="10293" w:type="dxa"/>
        <w:jc w:val="center"/>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93"/>
      </w:tblGrid>
      <w:tr w:rsidR="0027378D" w:rsidRPr="00A31BDE" w:rsidTr="0027378D">
        <w:trPr>
          <w:trHeight w:val="20"/>
          <w:jc w:val="center"/>
        </w:trPr>
        <w:tc>
          <w:tcPr>
            <w:tcW w:w="10293" w:type="dxa"/>
            <w:shd w:val="clear" w:color="auto" w:fill="DAEEF3" w:themeFill="accent5" w:themeFillTint="33"/>
            <w:noWrap/>
            <w:vAlign w:val="center"/>
          </w:tcPr>
          <w:p w:rsidR="0027378D" w:rsidRPr="00A31BDE" w:rsidRDefault="00AA7A4E" w:rsidP="00AA7A4E">
            <w:pPr>
              <w:spacing w:after="60"/>
              <w:rPr>
                <w:rFonts w:ascii="Times New Roman" w:hAnsi="Times New Roman" w:cs="Times New Roman"/>
                <w:b/>
                <w:bCs/>
                <w:lang w:eastAsia="tr-TR"/>
              </w:rPr>
            </w:pPr>
            <w:r w:rsidRPr="0044058D">
              <w:rPr>
                <w:rFonts w:ascii="Times New Roman" w:hAnsi="Times New Roman" w:cs="Times New Roman"/>
                <w:b/>
                <w:bCs/>
                <w:lang w:eastAsia="tr-TR"/>
              </w:rPr>
              <w:t>Tanımlanan Politika</w:t>
            </w:r>
            <w:r w:rsidRPr="0044058D">
              <w:rPr>
                <w:rFonts w:ascii="Times New Roman" w:hAnsi="Times New Roman" w:cs="Times New Roman"/>
                <w:b/>
                <w:bCs/>
                <w:lang w:eastAsia="tr-TR"/>
              </w:rPr>
              <w:tab/>
            </w:r>
            <w:r w:rsidRPr="0044058D">
              <w:rPr>
                <w:rFonts w:ascii="Times New Roman" w:hAnsi="Times New Roman" w:cs="Times New Roman"/>
                <w:b/>
                <w:bCs/>
                <w:lang w:eastAsia="tr-TR"/>
              </w:rPr>
              <w:tab/>
            </w:r>
            <w:r w:rsidRPr="0044058D">
              <w:rPr>
                <w:rFonts w:ascii="Times New Roman" w:hAnsi="Times New Roman" w:cs="Times New Roman"/>
                <w:b/>
                <w:bCs/>
                <w:lang w:eastAsia="tr-TR"/>
              </w:rPr>
              <w:tab/>
              <w:t>:</w:t>
            </w:r>
            <w:r w:rsidRPr="0044058D">
              <w:rPr>
                <w:rFonts w:ascii="Times New Roman" w:hAnsi="Times New Roman" w:cs="Times New Roman"/>
                <w:lang w:eastAsia="tr-TR"/>
              </w:rPr>
              <w:t xml:space="preserve"> </w:t>
            </w:r>
            <w:r w:rsidR="00836202">
              <w:rPr>
                <w:rFonts w:ascii="Times New Roman" w:hAnsi="Times New Roman" w:cs="Times New Roman"/>
                <w:b/>
                <w:bCs/>
                <w:lang w:eastAsia="tr-TR"/>
              </w:rPr>
              <w:t>İskenderun Ticaret ve Sanayi Odası</w:t>
            </w:r>
            <w:r w:rsidRPr="00A31BDE">
              <w:rPr>
                <w:rFonts w:ascii="Times New Roman" w:hAnsi="Times New Roman" w:cs="Times New Roman"/>
                <w:b/>
                <w:bCs/>
                <w:lang w:eastAsia="tr-TR"/>
              </w:rPr>
              <w:t xml:space="preserve"> </w:t>
            </w:r>
            <w:r w:rsidRPr="00A31BDE">
              <w:rPr>
                <w:rFonts w:ascii="Times New Roman" w:hAnsi="Times New Roman" w:cs="Times New Roman"/>
                <w:b/>
              </w:rPr>
              <w:t>İnsan Kaynakları Politikası</w:t>
            </w:r>
          </w:p>
        </w:tc>
      </w:tr>
      <w:tr w:rsidR="00A1076F" w:rsidRPr="00A31BDE" w:rsidTr="0027378D">
        <w:trPr>
          <w:trHeight w:val="20"/>
          <w:jc w:val="center"/>
        </w:trPr>
        <w:tc>
          <w:tcPr>
            <w:tcW w:w="10293" w:type="dxa"/>
            <w:noWrap/>
            <w:vAlign w:val="center"/>
          </w:tcPr>
          <w:p w:rsidR="00880AE3" w:rsidRPr="00A31BDE" w:rsidRDefault="00880AE3" w:rsidP="00701326">
            <w:pPr>
              <w:spacing w:after="60"/>
              <w:jc w:val="both"/>
              <w:rPr>
                <w:rFonts w:ascii="Times New Roman" w:hAnsi="Times New Roman" w:cs="Times New Roman"/>
                <w:bCs/>
                <w:lang w:eastAsia="tr-TR"/>
              </w:rPr>
            </w:pPr>
            <w:bookmarkStart w:id="0" w:name="_GoBack"/>
            <w:r w:rsidRPr="00A31BDE">
              <w:rPr>
                <w:rFonts w:ascii="Times New Roman" w:hAnsi="Times New Roman" w:cs="Times New Roman"/>
                <w:bCs/>
                <w:lang w:eastAsia="tr-TR"/>
              </w:rPr>
              <w:t>Üst Yönetim, İskenderun Ticaret ve Sanayi Odası’nın üye odaklı çalışmasını sağlamaktadır. Üye beklentileri yasal şartlar doğrultusunda gerçekleştirilmektedir.</w:t>
            </w:r>
          </w:p>
          <w:p w:rsidR="00701326" w:rsidRPr="00A31BDE" w:rsidRDefault="00880AE3" w:rsidP="00701326">
            <w:pPr>
              <w:spacing w:after="60"/>
              <w:jc w:val="both"/>
              <w:rPr>
                <w:rFonts w:ascii="Times New Roman" w:hAnsi="Times New Roman" w:cs="Times New Roman"/>
                <w:bCs/>
                <w:lang w:eastAsia="tr-TR"/>
              </w:rPr>
            </w:pPr>
            <w:r w:rsidRPr="00A31BDE">
              <w:rPr>
                <w:rFonts w:ascii="Times New Roman" w:hAnsi="Times New Roman" w:cs="Times New Roman"/>
                <w:bCs/>
                <w:lang w:eastAsia="tr-TR"/>
              </w:rPr>
              <w:t xml:space="preserve">         İskenderun Ticaret ve Sanayi Odası,   üyeleri ile olan ilişkisinde uygulamakta olduğu kalite yönetim sistemi çerçevesinde, yasal mevzuatlar ile belirlenmiş hizmetlerin yanı sıra sosyal ve ekonomik hizmetler de sunarak üyelerinin ihtiyaçlarını karşılamayı, üyelerinin sosyal, ekonomik ve ticari gelişimleri için yeni bakış açısı kazandırmayı, yeni girişimlerde bulunmalarını ve s</w:t>
            </w:r>
            <w:r w:rsidR="00595E84" w:rsidRPr="00A31BDE">
              <w:rPr>
                <w:rFonts w:ascii="Times New Roman" w:hAnsi="Times New Roman" w:cs="Times New Roman"/>
                <w:bCs/>
                <w:lang w:eastAsia="tr-TR"/>
              </w:rPr>
              <w:t xml:space="preserve">ürekli gelişmelerini sağlayacak, </w:t>
            </w:r>
            <w:r w:rsidRPr="00A31BDE">
              <w:rPr>
                <w:rFonts w:ascii="Times New Roman" w:hAnsi="Times New Roman" w:cs="Times New Roman"/>
                <w:bCs/>
                <w:lang w:eastAsia="tr-TR"/>
              </w:rPr>
              <w:t>eksik yönlerini tamamlamalarına katkıda bulunacak hizmetler sunmayı, üye odaklı yönetim anlayışı ile bu hizmetleri sunarken en üst düzeyde memnuniyetlerini sağlamayı kend</w:t>
            </w:r>
            <w:r w:rsidR="00595E84" w:rsidRPr="00A31BDE">
              <w:rPr>
                <w:rFonts w:ascii="Times New Roman" w:hAnsi="Times New Roman" w:cs="Times New Roman"/>
                <w:bCs/>
                <w:lang w:eastAsia="tr-TR"/>
              </w:rPr>
              <w:t>isine ilke olarak benimsemiştir.</w:t>
            </w:r>
          </w:p>
          <w:p w:rsidR="00701326" w:rsidRPr="00A31BDE" w:rsidRDefault="0027378D" w:rsidP="00701326">
            <w:pPr>
              <w:spacing w:after="60"/>
              <w:jc w:val="both"/>
              <w:rPr>
                <w:rFonts w:ascii="Times New Roman" w:hAnsi="Times New Roman" w:cs="Times New Roman"/>
                <w:bCs/>
                <w:lang w:eastAsia="tr-TR"/>
              </w:rPr>
            </w:pPr>
            <w:r w:rsidRPr="00A31BDE">
              <w:rPr>
                <w:rFonts w:ascii="Times New Roman" w:hAnsi="Times New Roman" w:cs="Times New Roman"/>
                <w:bCs/>
                <w:lang w:eastAsia="tr-TR"/>
              </w:rPr>
              <w:t xml:space="preserve">        </w:t>
            </w:r>
            <w:r w:rsidR="00880AE3" w:rsidRPr="00A31BDE">
              <w:rPr>
                <w:rFonts w:ascii="Times New Roman" w:hAnsi="Times New Roman" w:cs="Times New Roman"/>
                <w:bCs/>
                <w:lang w:eastAsia="tr-TR"/>
              </w:rPr>
              <w:t xml:space="preserve">Çalışanların mesleki bilgi ve becerilerini arttırmak ve yetkinliklerini konusunda gelişimlerini </w:t>
            </w:r>
            <w:r w:rsidR="00701326" w:rsidRPr="00A31BDE">
              <w:rPr>
                <w:rFonts w:ascii="Times New Roman" w:hAnsi="Times New Roman" w:cs="Times New Roman"/>
                <w:bCs/>
                <w:lang w:eastAsia="tr-TR"/>
              </w:rPr>
              <w:t>sağlamak,</w:t>
            </w:r>
          </w:p>
          <w:p w:rsidR="00880AE3" w:rsidRPr="00A31BDE" w:rsidRDefault="0027378D" w:rsidP="00701326">
            <w:pPr>
              <w:spacing w:after="60"/>
              <w:jc w:val="both"/>
              <w:rPr>
                <w:rFonts w:ascii="Times New Roman" w:hAnsi="Times New Roman" w:cs="Times New Roman"/>
                <w:bCs/>
                <w:lang w:eastAsia="tr-TR"/>
              </w:rPr>
            </w:pPr>
            <w:r w:rsidRPr="00A31BDE">
              <w:rPr>
                <w:rFonts w:ascii="Times New Roman" w:hAnsi="Times New Roman" w:cs="Times New Roman"/>
                <w:bCs/>
                <w:lang w:eastAsia="tr-TR"/>
              </w:rPr>
              <w:t xml:space="preserve">        </w:t>
            </w:r>
            <w:r w:rsidR="00880AE3" w:rsidRPr="00A31BDE">
              <w:rPr>
                <w:rFonts w:ascii="Times New Roman" w:hAnsi="Times New Roman" w:cs="Times New Roman"/>
                <w:bCs/>
                <w:lang w:eastAsia="tr-TR"/>
              </w:rPr>
              <w:t>Güvenli, sağlıklı, çalışanlara gelişim ortamı ve fırsatı veren kaliteli bir iş ortamı sağlamak, Çalışanların, maddi ve manevi haklarının korunmasını sağlamak,</w:t>
            </w:r>
          </w:p>
          <w:p w:rsidR="00880AE3" w:rsidRPr="00A31BDE" w:rsidRDefault="0027378D" w:rsidP="00701326">
            <w:pPr>
              <w:spacing w:after="60"/>
              <w:jc w:val="both"/>
              <w:rPr>
                <w:rFonts w:ascii="Times New Roman" w:hAnsi="Times New Roman" w:cs="Times New Roman"/>
                <w:bCs/>
                <w:lang w:eastAsia="tr-TR"/>
              </w:rPr>
            </w:pPr>
            <w:r w:rsidRPr="00A31BDE">
              <w:rPr>
                <w:rFonts w:ascii="Times New Roman" w:hAnsi="Times New Roman" w:cs="Times New Roman"/>
                <w:bCs/>
                <w:lang w:eastAsia="tr-TR"/>
              </w:rPr>
              <w:t xml:space="preserve">        </w:t>
            </w:r>
            <w:r w:rsidR="00880AE3" w:rsidRPr="00A31BDE">
              <w:rPr>
                <w:rFonts w:ascii="Times New Roman" w:hAnsi="Times New Roman" w:cs="Times New Roman"/>
                <w:bCs/>
                <w:lang w:eastAsia="tr-TR"/>
              </w:rPr>
              <w:t>Çalışanlara özgürce düşüncelerini paylaşabileceği demokratik bir ortam yaratmak ve iş yeri ile bütünleşmesini sağlamak,</w:t>
            </w:r>
          </w:p>
          <w:p w:rsidR="00880AE3" w:rsidRPr="00A31BDE" w:rsidRDefault="0027378D" w:rsidP="00701326">
            <w:pPr>
              <w:spacing w:after="60"/>
              <w:jc w:val="both"/>
              <w:rPr>
                <w:rFonts w:ascii="Times New Roman" w:hAnsi="Times New Roman" w:cs="Times New Roman"/>
                <w:bCs/>
                <w:lang w:eastAsia="tr-TR"/>
              </w:rPr>
            </w:pPr>
            <w:r w:rsidRPr="00A31BDE">
              <w:rPr>
                <w:rFonts w:ascii="Times New Roman" w:hAnsi="Times New Roman" w:cs="Times New Roman"/>
                <w:bCs/>
                <w:lang w:eastAsia="tr-TR"/>
              </w:rPr>
              <w:t xml:space="preserve">        </w:t>
            </w:r>
            <w:r w:rsidR="00880AE3" w:rsidRPr="00A31BDE">
              <w:rPr>
                <w:rFonts w:ascii="Times New Roman" w:hAnsi="Times New Roman" w:cs="Times New Roman"/>
                <w:bCs/>
                <w:lang w:eastAsia="tr-TR"/>
              </w:rPr>
              <w:t xml:space="preserve">Performansı objektif </w:t>
            </w:r>
            <w:proofErr w:type="gramStart"/>
            <w:r w:rsidR="00880AE3" w:rsidRPr="00A31BDE">
              <w:rPr>
                <w:rFonts w:ascii="Times New Roman" w:hAnsi="Times New Roman" w:cs="Times New Roman"/>
                <w:bCs/>
                <w:lang w:eastAsia="tr-TR"/>
              </w:rPr>
              <w:t>kriterlerle</w:t>
            </w:r>
            <w:proofErr w:type="gramEnd"/>
            <w:r w:rsidR="00880AE3" w:rsidRPr="00A31BDE">
              <w:rPr>
                <w:rFonts w:ascii="Times New Roman" w:hAnsi="Times New Roman" w:cs="Times New Roman"/>
                <w:bCs/>
                <w:lang w:eastAsia="tr-TR"/>
              </w:rPr>
              <w:t xml:space="preserve"> ölçümleyerek değerlendirmek. Yüksek performansı ödüllendirmek, beklentinin altında kalan performansın gelişimine destek olmak,</w:t>
            </w:r>
          </w:p>
          <w:p w:rsidR="00880AE3" w:rsidRPr="00A31BDE" w:rsidRDefault="0027378D" w:rsidP="00701326">
            <w:pPr>
              <w:spacing w:after="60"/>
              <w:jc w:val="both"/>
              <w:rPr>
                <w:rFonts w:ascii="Times New Roman" w:hAnsi="Times New Roman" w:cs="Times New Roman"/>
                <w:bCs/>
                <w:lang w:eastAsia="tr-TR"/>
              </w:rPr>
            </w:pPr>
            <w:r w:rsidRPr="00A31BDE">
              <w:rPr>
                <w:rFonts w:ascii="Times New Roman" w:hAnsi="Times New Roman" w:cs="Times New Roman"/>
                <w:bCs/>
                <w:lang w:eastAsia="tr-TR"/>
              </w:rPr>
              <w:t xml:space="preserve">        </w:t>
            </w:r>
            <w:r w:rsidR="00880AE3" w:rsidRPr="00A31BDE">
              <w:rPr>
                <w:rFonts w:ascii="Times New Roman" w:hAnsi="Times New Roman" w:cs="Times New Roman"/>
                <w:bCs/>
                <w:lang w:eastAsia="tr-TR"/>
              </w:rPr>
              <w:t xml:space="preserve">Çalışanlar arası iletişimi, ekip dayanışmasını ve paylaşımları desteklemek amacıyla çeşitli aktiviteler gerçekleştirerek </w:t>
            </w:r>
            <w:proofErr w:type="gramStart"/>
            <w:r w:rsidR="00880AE3" w:rsidRPr="00A31BDE">
              <w:rPr>
                <w:rFonts w:ascii="Times New Roman" w:hAnsi="Times New Roman" w:cs="Times New Roman"/>
                <w:bCs/>
                <w:lang w:eastAsia="tr-TR"/>
              </w:rPr>
              <w:t>motivasyonlarının</w:t>
            </w:r>
            <w:proofErr w:type="gramEnd"/>
            <w:r w:rsidR="00880AE3" w:rsidRPr="00A31BDE">
              <w:rPr>
                <w:rFonts w:ascii="Times New Roman" w:hAnsi="Times New Roman" w:cs="Times New Roman"/>
                <w:bCs/>
                <w:lang w:eastAsia="tr-TR"/>
              </w:rPr>
              <w:t xml:space="preserve"> artmasını sağlamak,</w:t>
            </w:r>
          </w:p>
          <w:p w:rsidR="00A1076F" w:rsidRPr="00A31BDE" w:rsidRDefault="0027378D" w:rsidP="00701326">
            <w:pPr>
              <w:spacing w:after="60"/>
              <w:jc w:val="both"/>
              <w:rPr>
                <w:rFonts w:ascii="Times New Roman" w:hAnsi="Times New Roman" w:cs="Times New Roman"/>
                <w:bCs/>
                <w:lang w:eastAsia="tr-TR"/>
              </w:rPr>
            </w:pPr>
            <w:r w:rsidRPr="00A31BDE">
              <w:rPr>
                <w:rFonts w:ascii="Times New Roman" w:hAnsi="Times New Roman" w:cs="Times New Roman"/>
                <w:bCs/>
                <w:lang w:eastAsia="tr-TR"/>
              </w:rPr>
              <w:t xml:space="preserve">        </w:t>
            </w:r>
            <w:r w:rsidR="00880AE3" w:rsidRPr="00A31BDE">
              <w:rPr>
                <w:rFonts w:ascii="Times New Roman" w:hAnsi="Times New Roman" w:cs="Times New Roman"/>
                <w:bCs/>
                <w:lang w:eastAsia="tr-TR"/>
              </w:rPr>
              <w:t>Çalışanların beklentilerini açık ve somut olarak ortaya konulmasına ortam sağ</w:t>
            </w:r>
            <w:r w:rsidRPr="00A31BDE">
              <w:rPr>
                <w:rFonts w:ascii="Times New Roman" w:hAnsi="Times New Roman" w:cs="Times New Roman"/>
                <w:bCs/>
                <w:lang w:eastAsia="tr-TR"/>
              </w:rPr>
              <w:t xml:space="preserve">lamak ve ölçülebilir </w:t>
            </w:r>
            <w:proofErr w:type="gramStart"/>
            <w:r w:rsidRPr="00A31BDE">
              <w:rPr>
                <w:rFonts w:ascii="Times New Roman" w:hAnsi="Times New Roman" w:cs="Times New Roman"/>
                <w:bCs/>
                <w:lang w:eastAsia="tr-TR"/>
              </w:rPr>
              <w:t>kriterler</w:t>
            </w:r>
            <w:proofErr w:type="gramEnd"/>
            <w:r w:rsidRPr="00A31BDE">
              <w:rPr>
                <w:rFonts w:ascii="Times New Roman" w:hAnsi="Times New Roman" w:cs="Times New Roman"/>
                <w:bCs/>
                <w:lang w:eastAsia="tr-TR"/>
              </w:rPr>
              <w:t xml:space="preserve"> ile</w:t>
            </w:r>
            <w:r w:rsidR="00880AE3" w:rsidRPr="00A31BDE">
              <w:rPr>
                <w:rFonts w:ascii="Times New Roman" w:hAnsi="Times New Roman" w:cs="Times New Roman"/>
                <w:bCs/>
                <w:lang w:eastAsia="tr-TR"/>
              </w:rPr>
              <w:t xml:space="preserve"> bunları değerlendirm</w:t>
            </w:r>
            <w:r w:rsidRPr="00A31BDE">
              <w:rPr>
                <w:rFonts w:ascii="Times New Roman" w:hAnsi="Times New Roman" w:cs="Times New Roman"/>
                <w:bCs/>
                <w:lang w:eastAsia="tr-TR"/>
              </w:rPr>
              <w:t>ek.</w:t>
            </w:r>
            <w:bookmarkEnd w:id="0"/>
          </w:p>
        </w:tc>
      </w:tr>
      <w:tr w:rsidR="0027378D" w:rsidRPr="00A31BDE" w:rsidTr="0027378D">
        <w:trPr>
          <w:trHeight w:val="20"/>
          <w:jc w:val="center"/>
        </w:trPr>
        <w:tc>
          <w:tcPr>
            <w:tcW w:w="10293" w:type="dxa"/>
            <w:noWrap/>
            <w:vAlign w:val="center"/>
          </w:tcPr>
          <w:p w:rsidR="0027378D" w:rsidRPr="00A31BDE" w:rsidRDefault="0027378D" w:rsidP="00701326">
            <w:pPr>
              <w:spacing w:after="60"/>
              <w:jc w:val="both"/>
              <w:rPr>
                <w:rFonts w:ascii="Times New Roman" w:hAnsi="Times New Roman" w:cs="Times New Roman"/>
                <w:bCs/>
                <w:lang w:eastAsia="tr-TR"/>
              </w:rPr>
            </w:pPr>
            <w:r w:rsidRPr="00A31BDE">
              <w:rPr>
                <w:rFonts w:ascii="Times New Roman" w:hAnsi="Times New Roman" w:cs="Times New Roman"/>
                <w:bCs/>
                <w:lang w:eastAsia="tr-TR"/>
              </w:rPr>
              <w:t>İskenderun Ticaret ve Sanayi Odası Yönetim Kurulu’nun 08.06.2015 tarih ve 114 sayılı kararı ile oluşturulmuştur.</w:t>
            </w:r>
          </w:p>
        </w:tc>
      </w:tr>
      <w:tr w:rsidR="0061539C" w:rsidRPr="00A31BDE" w:rsidTr="0027378D">
        <w:trPr>
          <w:trHeight w:val="20"/>
          <w:jc w:val="center"/>
        </w:trPr>
        <w:tc>
          <w:tcPr>
            <w:tcW w:w="10293" w:type="dxa"/>
            <w:noWrap/>
            <w:vAlign w:val="center"/>
          </w:tcPr>
          <w:p w:rsidR="0061539C" w:rsidRPr="00A31BDE" w:rsidRDefault="0061539C" w:rsidP="0061539C">
            <w:pPr>
              <w:spacing w:after="60"/>
              <w:jc w:val="both"/>
              <w:rPr>
                <w:rFonts w:ascii="Times New Roman" w:hAnsi="Times New Roman" w:cs="Times New Roman"/>
                <w:bCs/>
                <w:lang w:eastAsia="tr-TR"/>
              </w:rPr>
            </w:pPr>
            <w:r>
              <w:rPr>
                <w:rFonts w:ascii="Times New Roman" w:hAnsi="Times New Roman" w:cs="Times New Roman"/>
                <w:b/>
              </w:rPr>
              <w:t>Not:</w:t>
            </w:r>
            <w:r>
              <w:rPr>
                <w:rFonts w:ascii="Times New Roman" w:hAnsi="Times New Roman" w:cs="Times New Roman"/>
              </w:rPr>
              <w:t xml:space="preserve"> 23.09.2016 tarih ve 3 sayılı Akreditasyon İzleme Kurulu toplantısında, 26.09.2016 tarih ve 3 sayılı YGG toplantısında ve 24.09.2016 tarih </w:t>
            </w:r>
            <w:proofErr w:type="gramStart"/>
            <w:r>
              <w:rPr>
                <w:rFonts w:ascii="Times New Roman" w:hAnsi="Times New Roman" w:cs="Times New Roman"/>
              </w:rPr>
              <w:t>ve  4</w:t>
            </w:r>
            <w:proofErr w:type="gramEnd"/>
            <w:r>
              <w:rPr>
                <w:rFonts w:ascii="Times New Roman" w:hAnsi="Times New Roman" w:cs="Times New Roman"/>
              </w:rPr>
              <w:t xml:space="preserve"> sayılı personel toplantısında, insan kaynakları politikası gözden geçirilmiş ve değişiklik yapılmamasına karar verilmiştir.</w:t>
            </w:r>
          </w:p>
        </w:tc>
      </w:tr>
    </w:tbl>
    <w:p w:rsidR="00674F55" w:rsidRPr="00DE1187" w:rsidRDefault="00DE1187" w:rsidP="00DE1187">
      <w:pPr>
        <w:ind w:left="7384" w:firstLine="284"/>
        <w:jc w:val="both"/>
        <w:rPr>
          <w:rFonts w:ascii="Times New Roman" w:hAnsi="Times New Roman" w:cs="Times New Roman"/>
          <w:b/>
        </w:rPr>
      </w:pPr>
      <w:r>
        <w:rPr>
          <w:rFonts w:ascii="Times New Roman" w:hAnsi="Times New Roman" w:cs="Times New Roman"/>
          <w:b/>
        </w:rPr>
        <w:t>Levent Hakkı YILMAZ</w:t>
      </w:r>
    </w:p>
    <w:p w:rsidR="00674F55" w:rsidRPr="001630CA" w:rsidRDefault="00674F55" w:rsidP="00DE1187">
      <w:pPr>
        <w:ind w:left="7952" w:firstLine="284"/>
        <w:jc w:val="both"/>
        <w:rPr>
          <w:rFonts w:ascii="Times New Roman" w:hAnsi="Times New Roman" w:cs="Times New Roman"/>
          <w:b/>
          <w:sz w:val="24"/>
          <w:szCs w:val="24"/>
        </w:rPr>
      </w:pPr>
      <w:r w:rsidRPr="001630CA">
        <w:rPr>
          <w:rFonts w:ascii="Times New Roman" w:hAnsi="Times New Roman" w:cs="Times New Roman"/>
          <w:b/>
          <w:sz w:val="24"/>
          <w:szCs w:val="24"/>
        </w:rPr>
        <w:t>08.06.2015</w:t>
      </w:r>
    </w:p>
    <w:sectPr w:rsidR="00674F55" w:rsidRPr="001630CA" w:rsidSect="00C43D10">
      <w:headerReference w:type="even" r:id="rId8"/>
      <w:headerReference w:type="default" r:id="rId9"/>
      <w:footerReference w:type="even" r:id="rId10"/>
      <w:footerReference w:type="default" r:id="rId11"/>
      <w:headerReference w:type="first" r:id="rId12"/>
      <w:footerReference w:type="first" r:id="rId13"/>
      <w:pgSz w:w="11906" w:h="16838"/>
      <w:pgMar w:top="1021" w:right="794"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68" w:rsidRDefault="00D75D68" w:rsidP="008347C2">
      <w:r>
        <w:separator/>
      </w:r>
    </w:p>
  </w:endnote>
  <w:endnote w:type="continuationSeparator" w:id="0">
    <w:p w:rsidR="00D75D68" w:rsidRDefault="00D75D68" w:rsidP="0083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FF" w:rsidRDefault="00647EF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FF" w:rsidRDefault="00647EF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FF" w:rsidRDefault="00647E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68" w:rsidRDefault="00D75D68" w:rsidP="008347C2">
      <w:r>
        <w:separator/>
      </w:r>
    </w:p>
  </w:footnote>
  <w:footnote w:type="continuationSeparator" w:id="0">
    <w:p w:rsidR="00D75D68" w:rsidRDefault="00D75D68" w:rsidP="0083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FF" w:rsidRDefault="00647EF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6379"/>
      <w:gridCol w:w="2971"/>
    </w:tblGrid>
    <w:tr w:rsidR="0027378D" w:rsidRPr="00A24FF8" w:rsidTr="0064494B">
      <w:trPr>
        <w:trHeight w:hRule="exact" w:val="255"/>
      </w:trPr>
      <w:tc>
        <w:tcPr>
          <w:tcW w:w="1135" w:type="dxa"/>
          <w:vMerge w:val="restart"/>
          <w:shd w:val="clear" w:color="auto" w:fill="auto"/>
        </w:tcPr>
        <w:p w:rsidR="0027378D" w:rsidRPr="00A24FF8" w:rsidRDefault="0027378D" w:rsidP="0064494B">
          <w:pPr>
            <w:pStyle w:val="TableParagraph"/>
            <w:spacing w:before="1" w:after="1"/>
            <w:rPr>
              <w:rFonts w:eastAsia="Calibri"/>
              <w:sz w:val="20"/>
              <w:szCs w:val="20"/>
            </w:rPr>
          </w:pPr>
          <w:r>
            <w:rPr>
              <w:rFonts w:eastAsia="Calibri"/>
              <w:noProof/>
              <w:sz w:val="20"/>
              <w:szCs w:val="20"/>
              <w:lang w:val="tr-TR" w:eastAsia="tr-TR"/>
            </w:rPr>
            <w:drawing>
              <wp:inline distT="0" distB="0" distL="0" distR="0" wp14:anchorId="70CD825E" wp14:editId="170F3AC6">
                <wp:extent cx="672837" cy="508000"/>
                <wp:effectExtent l="0" t="0" r="0" b="6350"/>
                <wp:docPr id="2" name="Resim 2" descr="Açıklama: TSO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4" descr="Açıklama: TSO_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10117"/>
                        </a:xfrm>
                        <a:prstGeom prst="rect">
                          <a:avLst/>
                        </a:prstGeom>
                        <a:noFill/>
                        <a:ln>
                          <a:noFill/>
                        </a:ln>
                      </pic:spPr>
                    </pic:pic>
                  </a:graphicData>
                </a:graphic>
              </wp:inline>
            </w:drawing>
          </w:r>
        </w:p>
        <w:p w:rsidR="0027378D" w:rsidRPr="00A24FF8" w:rsidRDefault="0027378D" w:rsidP="0064494B">
          <w:pPr>
            <w:pStyle w:val="TableParagraph"/>
            <w:ind w:left="67"/>
            <w:jc w:val="center"/>
            <w:rPr>
              <w:rFonts w:eastAsia="Calibri"/>
              <w:sz w:val="20"/>
              <w:szCs w:val="20"/>
            </w:rPr>
          </w:pPr>
        </w:p>
      </w:tc>
      <w:tc>
        <w:tcPr>
          <w:tcW w:w="6379" w:type="dxa"/>
          <w:tcBorders>
            <w:right w:val="single" w:sz="4" w:space="0" w:color="auto"/>
          </w:tcBorders>
          <w:shd w:val="clear" w:color="auto" w:fill="FDE9D9"/>
        </w:tcPr>
        <w:p w:rsidR="0027378D" w:rsidRPr="00A31BDE" w:rsidRDefault="0027378D" w:rsidP="0064494B">
          <w:pPr>
            <w:pStyle w:val="TableParagraph"/>
            <w:spacing w:before="36"/>
            <w:ind w:right="2150"/>
            <w:jc w:val="center"/>
            <w:rPr>
              <w:rFonts w:eastAsia="Calibri"/>
              <w:b/>
              <w:sz w:val="20"/>
              <w:szCs w:val="20"/>
            </w:rPr>
          </w:pPr>
          <w:r w:rsidRPr="00A24FF8">
            <w:rPr>
              <w:rFonts w:eastAsia="Calibri"/>
              <w:sz w:val="20"/>
              <w:szCs w:val="20"/>
            </w:rPr>
            <w:t xml:space="preserve">                                        </w:t>
          </w:r>
          <w:r w:rsidRPr="00A31BDE">
            <w:rPr>
              <w:rFonts w:eastAsia="Calibri"/>
              <w:b/>
              <w:sz w:val="20"/>
              <w:szCs w:val="20"/>
            </w:rPr>
            <w:t xml:space="preserve"> POLİTİKA</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27378D" w:rsidRPr="00647EFF" w:rsidRDefault="0027378D" w:rsidP="0064494B">
          <w:pPr>
            <w:widowControl w:val="0"/>
            <w:rPr>
              <w:rFonts w:ascii="Times New Roman" w:hAnsi="Times New Roman"/>
              <w:sz w:val="18"/>
              <w:szCs w:val="18"/>
            </w:rPr>
          </w:pPr>
          <w:r w:rsidRPr="00647EFF">
            <w:rPr>
              <w:rFonts w:ascii="Times New Roman" w:hAnsi="Times New Roman"/>
              <w:sz w:val="18"/>
              <w:szCs w:val="18"/>
            </w:rPr>
            <w:t xml:space="preserve">YAYIN </w:t>
          </w:r>
          <w:r w:rsidR="00A31BDE" w:rsidRPr="00647EFF">
            <w:rPr>
              <w:rFonts w:ascii="Times New Roman" w:hAnsi="Times New Roman"/>
              <w:sz w:val="18"/>
              <w:szCs w:val="18"/>
            </w:rPr>
            <w:t>TARİHİ: 01</w:t>
          </w:r>
          <w:r w:rsidRPr="00647EFF">
            <w:rPr>
              <w:rFonts w:ascii="Times New Roman" w:hAnsi="Times New Roman"/>
              <w:sz w:val="18"/>
              <w:szCs w:val="18"/>
            </w:rPr>
            <w:t>.06.2016</w:t>
          </w:r>
        </w:p>
      </w:tc>
    </w:tr>
    <w:tr w:rsidR="00A31BDE" w:rsidRPr="00A24FF8" w:rsidTr="00A31BDE">
      <w:trPr>
        <w:trHeight w:val="295"/>
      </w:trPr>
      <w:tc>
        <w:tcPr>
          <w:tcW w:w="1135" w:type="dxa"/>
          <w:vMerge/>
          <w:shd w:val="clear" w:color="auto" w:fill="auto"/>
        </w:tcPr>
        <w:p w:rsidR="00A31BDE" w:rsidRPr="00A24FF8" w:rsidRDefault="00A31BDE" w:rsidP="0064494B">
          <w:pPr>
            <w:widowControl w:val="0"/>
            <w:rPr>
              <w:rFonts w:ascii="Times New Roman" w:hAnsi="Times New Roman"/>
              <w:sz w:val="20"/>
              <w:szCs w:val="20"/>
            </w:rPr>
          </w:pPr>
        </w:p>
      </w:tc>
      <w:tc>
        <w:tcPr>
          <w:tcW w:w="6379" w:type="dxa"/>
          <w:vMerge w:val="restart"/>
          <w:shd w:val="clear" w:color="auto" w:fill="auto"/>
          <w:vAlign w:val="center"/>
        </w:tcPr>
        <w:p w:rsidR="00A31BDE" w:rsidRPr="00A31BDE" w:rsidRDefault="00A31BDE" w:rsidP="0027378D">
          <w:pPr>
            <w:pStyle w:val="TableParagraph"/>
            <w:spacing w:before="158"/>
            <w:ind w:right="677"/>
            <w:jc w:val="center"/>
            <w:rPr>
              <w:rFonts w:eastAsia="Calibri"/>
              <w:b/>
            </w:rPr>
          </w:pPr>
          <w:r>
            <w:rPr>
              <w:rFonts w:eastAsia="Calibri"/>
              <w:b/>
              <w:sz w:val="20"/>
              <w:szCs w:val="20"/>
            </w:rPr>
            <w:t xml:space="preserve">       </w:t>
          </w:r>
          <w:r w:rsidRPr="00A31BDE">
            <w:rPr>
              <w:rFonts w:eastAsia="Calibri"/>
              <w:b/>
            </w:rPr>
            <w:t>İNSAN KAYNAKLARI POLİTİKASI</w:t>
          </w:r>
        </w:p>
      </w:tc>
      <w:tc>
        <w:tcPr>
          <w:tcW w:w="2971" w:type="dxa"/>
          <w:tcBorders>
            <w:top w:val="single" w:sz="4" w:space="0" w:color="auto"/>
          </w:tcBorders>
          <w:shd w:val="clear" w:color="auto" w:fill="auto"/>
          <w:vAlign w:val="center"/>
        </w:tcPr>
        <w:p w:rsidR="00A31BDE" w:rsidRPr="00647EFF" w:rsidRDefault="00A31BDE" w:rsidP="0064494B">
          <w:pPr>
            <w:pStyle w:val="TableParagraph"/>
            <w:spacing w:before="36"/>
            <w:rPr>
              <w:rFonts w:eastAsia="Calibri"/>
              <w:sz w:val="18"/>
              <w:szCs w:val="18"/>
            </w:rPr>
          </w:pPr>
          <w:r w:rsidRPr="00647EFF">
            <w:rPr>
              <w:rFonts w:eastAsia="Calibri"/>
              <w:sz w:val="18"/>
              <w:szCs w:val="18"/>
            </w:rPr>
            <w:t>DOKÜMAN NO: POL-03</w:t>
          </w:r>
        </w:p>
      </w:tc>
    </w:tr>
    <w:tr w:rsidR="00A31BDE" w:rsidRPr="00A24FF8" w:rsidTr="006112B7">
      <w:trPr>
        <w:trHeight w:hRule="exact" w:val="260"/>
      </w:trPr>
      <w:tc>
        <w:tcPr>
          <w:tcW w:w="1135" w:type="dxa"/>
          <w:vMerge/>
          <w:shd w:val="clear" w:color="auto" w:fill="auto"/>
        </w:tcPr>
        <w:p w:rsidR="00A31BDE" w:rsidRPr="00A24FF8" w:rsidRDefault="00A31BDE" w:rsidP="0064494B">
          <w:pPr>
            <w:widowControl w:val="0"/>
            <w:rPr>
              <w:rFonts w:ascii="Times New Roman" w:hAnsi="Times New Roman"/>
              <w:sz w:val="20"/>
              <w:szCs w:val="20"/>
            </w:rPr>
          </w:pPr>
        </w:p>
      </w:tc>
      <w:tc>
        <w:tcPr>
          <w:tcW w:w="6379" w:type="dxa"/>
          <w:vMerge/>
          <w:shd w:val="clear" w:color="auto" w:fill="auto"/>
          <w:vAlign w:val="center"/>
        </w:tcPr>
        <w:p w:rsidR="00A31BDE" w:rsidRPr="00A24FF8" w:rsidRDefault="00A31BDE" w:rsidP="0064494B">
          <w:pPr>
            <w:pStyle w:val="TableParagraph"/>
            <w:spacing w:before="158"/>
            <w:ind w:right="677"/>
            <w:jc w:val="center"/>
            <w:rPr>
              <w:rFonts w:eastAsia="Calibri"/>
              <w:b/>
              <w:sz w:val="20"/>
              <w:szCs w:val="20"/>
            </w:rPr>
          </w:pPr>
        </w:p>
      </w:tc>
      <w:tc>
        <w:tcPr>
          <w:tcW w:w="2971" w:type="dxa"/>
          <w:tcBorders>
            <w:top w:val="single" w:sz="4" w:space="0" w:color="auto"/>
          </w:tcBorders>
          <w:shd w:val="clear" w:color="auto" w:fill="auto"/>
          <w:vAlign w:val="center"/>
        </w:tcPr>
        <w:p w:rsidR="00A31BDE" w:rsidRPr="00647EFF" w:rsidRDefault="00A31BDE" w:rsidP="0064494B">
          <w:pPr>
            <w:pStyle w:val="TableParagraph"/>
            <w:spacing w:before="36"/>
            <w:rPr>
              <w:rFonts w:eastAsia="Calibri"/>
              <w:sz w:val="18"/>
              <w:szCs w:val="18"/>
            </w:rPr>
          </w:pPr>
          <w:r w:rsidRPr="00647EFF">
            <w:rPr>
              <w:rFonts w:eastAsia="Calibri"/>
              <w:sz w:val="18"/>
              <w:szCs w:val="18"/>
            </w:rPr>
            <w:t xml:space="preserve">SAYFA: </w:t>
          </w:r>
          <w:r w:rsidRPr="00647EFF">
            <w:rPr>
              <w:rFonts w:eastAsia="Calibri"/>
              <w:b/>
              <w:sz w:val="18"/>
              <w:szCs w:val="18"/>
            </w:rPr>
            <w:fldChar w:fldCharType="begin"/>
          </w:r>
          <w:r w:rsidRPr="00647EFF">
            <w:rPr>
              <w:rFonts w:eastAsia="Calibri"/>
              <w:b/>
              <w:sz w:val="18"/>
              <w:szCs w:val="18"/>
            </w:rPr>
            <w:instrText>PAGE  \* Arabic  \* MERGEFORMAT</w:instrText>
          </w:r>
          <w:r w:rsidRPr="00647EFF">
            <w:rPr>
              <w:rFonts w:eastAsia="Calibri"/>
              <w:b/>
              <w:sz w:val="18"/>
              <w:szCs w:val="18"/>
            </w:rPr>
            <w:fldChar w:fldCharType="separate"/>
          </w:r>
          <w:r w:rsidR="00043FF9" w:rsidRPr="00043FF9">
            <w:rPr>
              <w:rFonts w:eastAsia="Calibri"/>
              <w:b/>
              <w:noProof/>
              <w:sz w:val="18"/>
              <w:szCs w:val="18"/>
              <w:lang w:val="tr-TR"/>
            </w:rPr>
            <w:t>1</w:t>
          </w:r>
          <w:r w:rsidRPr="00647EFF">
            <w:rPr>
              <w:rFonts w:eastAsia="Calibri"/>
              <w:b/>
              <w:sz w:val="18"/>
              <w:szCs w:val="18"/>
            </w:rPr>
            <w:fldChar w:fldCharType="end"/>
          </w:r>
          <w:r w:rsidRPr="00647EFF">
            <w:rPr>
              <w:rFonts w:eastAsia="Calibri"/>
              <w:sz w:val="18"/>
              <w:szCs w:val="18"/>
              <w:lang w:val="tr-TR"/>
            </w:rPr>
            <w:t xml:space="preserve"> / </w:t>
          </w:r>
          <w:r w:rsidRPr="00647EFF">
            <w:rPr>
              <w:rFonts w:eastAsia="Calibri"/>
              <w:b/>
              <w:sz w:val="18"/>
              <w:szCs w:val="18"/>
            </w:rPr>
            <w:fldChar w:fldCharType="begin"/>
          </w:r>
          <w:r w:rsidRPr="00647EFF">
            <w:rPr>
              <w:rFonts w:eastAsia="Calibri"/>
              <w:b/>
              <w:sz w:val="18"/>
              <w:szCs w:val="18"/>
            </w:rPr>
            <w:instrText>NUMPAGES  \* Arabic  \* MERGEFORMAT</w:instrText>
          </w:r>
          <w:r w:rsidRPr="00647EFF">
            <w:rPr>
              <w:rFonts w:eastAsia="Calibri"/>
              <w:b/>
              <w:sz w:val="18"/>
              <w:szCs w:val="18"/>
            </w:rPr>
            <w:fldChar w:fldCharType="separate"/>
          </w:r>
          <w:r w:rsidR="00043FF9" w:rsidRPr="00043FF9">
            <w:rPr>
              <w:rFonts w:eastAsia="Calibri"/>
              <w:b/>
              <w:noProof/>
              <w:sz w:val="18"/>
              <w:szCs w:val="18"/>
              <w:lang w:val="tr-TR"/>
            </w:rPr>
            <w:t>1</w:t>
          </w:r>
          <w:r w:rsidRPr="00647EFF">
            <w:rPr>
              <w:rFonts w:eastAsia="Calibri"/>
              <w:b/>
              <w:sz w:val="18"/>
              <w:szCs w:val="18"/>
            </w:rPr>
            <w:fldChar w:fldCharType="end"/>
          </w:r>
        </w:p>
      </w:tc>
    </w:tr>
  </w:tbl>
  <w:p w:rsidR="0027378D" w:rsidRDefault="0027378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EFF" w:rsidRDefault="00647EF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28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54"/>
    <w:rsid w:val="00016624"/>
    <w:rsid w:val="00030390"/>
    <w:rsid w:val="00043FF9"/>
    <w:rsid w:val="000461C9"/>
    <w:rsid w:val="00084B3C"/>
    <w:rsid w:val="00090019"/>
    <w:rsid w:val="000927C7"/>
    <w:rsid w:val="00095A01"/>
    <w:rsid w:val="000B4DFF"/>
    <w:rsid w:val="000C257D"/>
    <w:rsid w:val="000E6E1A"/>
    <w:rsid w:val="00115053"/>
    <w:rsid w:val="00134B25"/>
    <w:rsid w:val="001576FE"/>
    <w:rsid w:val="00161052"/>
    <w:rsid w:val="00162B93"/>
    <w:rsid w:val="001630CA"/>
    <w:rsid w:val="0016745A"/>
    <w:rsid w:val="00193B45"/>
    <w:rsid w:val="001C7307"/>
    <w:rsid w:val="001E30B0"/>
    <w:rsid w:val="002515A8"/>
    <w:rsid w:val="0027378D"/>
    <w:rsid w:val="002A3661"/>
    <w:rsid w:val="002B5260"/>
    <w:rsid w:val="002C2AD3"/>
    <w:rsid w:val="002E1F5E"/>
    <w:rsid w:val="002F49E1"/>
    <w:rsid w:val="003A1DC5"/>
    <w:rsid w:val="003F40D5"/>
    <w:rsid w:val="00400226"/>
    <w:rsid w:val="00411B28"/>
    <w:rsid w:val="0043521B"/>
    <w:rsid w:val="00447D6D"/>
    <w:rsid w:val="004517E6"/>
    <w:rsid w:val="00485AF7"/>
    <w:rsid w:val="004E571B"/>
    <w:rsid w:val="00521932"/>
    <w:rsid w:val="0052737F"/>
    <w:rsid w:val="0055228C"/>
    <w:rsid w:val="005526DD"/>
    <w:rsid w:val="00562C7E"/>
    <w:rsid w:val="00570765"/>
    <w:rsid w:val="00575C81"/>
    <w:rsid w:val="00595E84"/>
    <w:rsid w:val="005969E8"/>
    <w:rsid w:val="005A1452"/>
    <w:rsid w:val="005C2575"/>
    <w:rsid w:val="005C7C14"/>
    <w:rsid w:val="00613C54"/>
    <w:rsid w:val="0061539C"/>
    <w:rsid w:val="00626998"/>
    <w:rsid w:val="00627152"/>
    <w:rsid w:val="00647EFF"/>
    <w:rsid w:val="0067099D"/>
    <w:rsid w:val="00674F55"/>
    <w:rsid w:val="0069277F"/>
    <w:rsid w:val="006C3C03"/>
    <w:rsid w:val="006D0076"/>
    <w:rsid w:val="006F2FF2"/>
    <w:rsid w:val="00701326"/>
    <w:rsid w:val="007177A1"/>
    <w:rsid w:val="00733920"/>
    <w:rsid w:val="00755DF6"/>
    <w:rsid w:val="0076153D"/>
    <w:rsid w:val="00785332"/>
    <w:rsid w:val="007B5FD2"/>
    <w:rsid w:val="008151B1"/>
    <w:rsid w:val="00825BD0"/>
    <w:rsid w:val="00831E0F"/>
    <w:rsid w:val="008347C2"/>
    <w:rsid w:val="00836202"/>
    <w:rsid w:val="00861160"/>
    <w:rsid w:val="00880AE3"/>
    <w:rsid w:val="008A415A"/>
    <w:rsid w:val="008B7EDC"/>
    <w:rsid w:val="0091142D"/>
    <w:rsid w:val="009244EE"/>
    <w:rsid w:val="009347C3"/>
    <w:rsid w:val="00952F16"/>
    <w:rsid w:val="00981BB0"/>
    <w:rsid w:val="009A690F"/>
    <w:rsid w:val="009B3554"/>
    <w:rsid w:val="009E3311"/>
    <w:rsid w:val="009F0521"/>
    <w:rsid w:val="00A1076F"/>
    <w:rsid w:val="00A30514"/>
    <w:rsid w:val="00A31BDE"/>
    <w:rsid w:val="00A3287B"/>
    <w:rsid w:val="00A3419C"/>
    <w:rsid w:val="00A445E0"/>
    <w:rsid w:val="00A46CA4"/>
    <w:rsid w:val="00A81443"/>
    <w:rsid w:val="00A976C4"/>
    <w:rsid w:val="00AA7A4E"/>
    <w:rsid w:val="00AB0B9F"/>
    <w:rsid w:val="00AC06E8"/>
    <w:rsid w:val="00AE7AB2"/>
    <w:rsid w:val="00B03987"/>
    <w:rsid w:val="00B11503"/>
    <w:rsid w:val="00B22569"/>
    <w:rsid w:val="00B243BD"/>
    <w:rsid w:val="00B25743"/>
    <w:rsid w:val="00BA24DD"/>
    <w:rsid w:val="00BA2F26"/>
    <w:rsid w:val="00BB34BF"/>
    <w:rsid w:val="00BE6BA6"/>
    <w:rsid w:val="00BF0A0B"/>
    <w:rsid w:val="00BF14C1"/>
    <w:rsid w:val="00BF2F4A"/>
    <w:rsid w:val="00BF5C4F"/>
    <w:rsid w:val="00BF6572"/>
    <w:rsid w:val="00C11783"/>
    <w:rsid w:val="00C43D10"/>
    <w:rsid w:val="00C92562"/>
    <w:rsid w:val="00C961B2"/>
    <w:rsid w:val="00CD39E4"/>
    <w:rsid w:val="00CE6408"/>
    <w:rsid w:val="00CF1A36"/>
    <w:rsid w:val="00D1332E"/>
    <w:rsid w:val="00D248A3"/>
    <w:rsid w:val="00D54529"/>
    <w:rsid w:val="00D75D68"/>
    <w:rsid w:val="00D953C2"/>
    <w:rsid w:val="00D97028"/>
    <w:rsid w:val="00DE1187"/>
    <w:rsid w:val="00DF1E97"/>
    <w:rsid w:val="00E569BE"/>
    <w:rsid w:val="00E5788E"/>
    <w:rsid w:val="00E726F4"/>
    <w:rsid w:val="00E74C5E"/>
    <w:rsid w:val="00E95339"/>
    <w:rsid w:val="00ED5751"/>
    <w:rsid w:val="00EE52B2"/>
    <w:rsid w:val="00EE776C"/>
    <w:rsid w:val="00F20409"/>
    <w:rsid w:val="00F34920"/>
    <w:rsid w:val="00F55C0E"/>
    <w:rsid w:val="00F717C8"/>
    <w:rsid w:val="00F9153C"/>
    <w:rsid w:val="00F962E8"/>
    <w:rsid w:val="00FB1C0B"/>
    <w:rsid w:val="00FB715A"/>
    <w:rsid w:val="00FE2C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C7"/>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16745A"/>
    <w:rPr>
      <w:rFonts w:ascii="Tahoma" w:hAnsi="Tahoma" w:cs="Times New Roman"/>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sz w:val="16"/>
    </w:rPr>
  </w:style>
  <w:style w:type="table" w:styleId="TabloKlavuzu">
    <w:name w:val="Table Grid"/>
    <w:basedOn w:val="NormalTablo"/>
    <w:uiPriority w:val="99"/>
    <w:rsid w:val="00D5452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sz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semiHidden/>
    <w:rsid w:val="00B22569"/>
    <w:pPr>
      <w:tabs>
        <w:tab w:val="center" w:pos="4536"/>
        <w:tab w:val="right" w:pos="9072"/>
      </w:tabs>
      <w:spacing w:after="120" w:line="240" w:lineRule="exact"/>
      <w:jc w:val="center"/>
    </w:pPr>
    <w:rPr>
      <w:rFonts w:ascii="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sz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rPr>
      <w:rFonts w:cs="Times New Roman"/>
    </w:rPr>
  </w:style>
  <w:style w:type="paragraph" w:customStyle="1" w:styleId="Default">
    <w:name w:val="Default"/>
    <w:rsid w:val="00A3287B"/>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27378D"/>
    <w:pPr>
      <w:widowControl w:val="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C7"/>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16745A"/>
    <w:rPr>
      <w:rFonts w:ascii="Tahoma" w:hAnsi="Tahoma" w:cs="Times New Roman"/>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sz w:val="16"/>
    </w:rPr>
  </w:style>
  <w:style w:type="table" w:styleId="TabloKlavuzu">
    <w:name w:val="Table Grid"/>
    <w:basedOn w:val="NormalTablo"/>
    <w:uiPriority w:val="99"/>
    <w:rsid w:val="00D5452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sz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semiHidden/>
    <w:rsid w:val="00B22569"/>
    <w:pPr>
      <w:tabs>
        <w:tab w:val="center" w:pos="4536"/>
        <w:tab w:val="right" w:pos="9072"/>
      </w:tabs>
      <w:spacing w:after="120" w:line="240" w:lineRule="exact"/>
      <w:jc w:val="center"/>
    </w:pPr>
    <w:rPr>
      <w:rFonts w:ascii="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sz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rPr>
      <w:rFonts w:cs="Times New Roman"/>
    </w:rPr>
  </w:style>
  <w:style w:type="paragraph" w:customStyle="1" w:styleId="Default">
    <w:name w:val="Default"/>
    <w:rsid w:val="00A3287B"/>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27378D"/>
    <w:pPr>
      <w:widowControl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9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3807-0AAC-4017-9985-C27EF8F97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v</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dc:creator>
  <cp:lastModifiedBy>Asus</cp:lastModifiedBy>
  <cp:revision>14</cp:revision>
  <cp:lastPrinted>2016-10-03T16:15:00Z</cp:lastPrinted>
  <dcterms:created xsi:type="dcterms:W3CDTF">2015-10-28T14:06:00Z</dcterms:created>
  <dcterms:modified xsi:type="dcterms:W3CDTF">2017-03-25T14:42:00Z</dcterms:modified>
</cp:coreProperties>
</file>